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10E6" w14:textId="1D15D174" w:rsidR="002B057E" w:rsidRPr="00355B4C" w:rsidRDefault="002B057E" w:rsidP="002B057E">
      <w:pPr>
        <w:spacing w:after="0" w:line="240" w:lineRule="auto"/>
        <w:rPr>
          <w:rFonts w:ascii="Trebuchet MS" w:hAnsi="Trebuchet MS"/>
          <w:b/>
          <w:bCs/>
        </w:rPr>
      </w:pPr>
      <w:r w:rsidRPr="00355B4C">
        <w:rPr>
          <w:rFonts w:ascii="Trebuchet MS" w:hAnsi="Trebuchet MS"/>
          <w:b/>
          <w:bCs/>
        </w:rPr>
        <w:t>PLANNING WHITE PAPER (AUGUST 2020) AND ASSOCIATED CHANGES</w:t>
      </w:r>
    </w:p>
    <w:p w14:paraId="500A0505" w14:textId="5A0FFCBA" w:rsidR="002B057E" w:rsidRDefault="00F82F7C" w:rsidP="002B057E">
      <w:pPr>
        <w:spacing w:after="0" w:line="240" w:lineRule="auto"/>
        <w:rPr>
          <w:rFonts w:ascii="Trebuchet MS" w:hAnsi="Trebuchet MS"/>
          <w:b/>
          <w:bCs/>
        </w:rPr>
      </w:pPr>
      <w:r>
        <w:rPr>
          <w:rFonts w:ascii="Trebuchet MS" w:hAnsi="Trebuchet MS"/>
          <w:b/>
          <w:bCs/>
        </w:rPr>
        <w:t>Briefing Note</w:t>
      </w:r>
    </w:p>
    <w:p w14:paraId="66FE6C9A" w14:textId="77777777" w:rsidR="0039063F" w:rsidRDefault="0039063F" w:rsidP="002B057E">
      <w:pPr>
        <w:spacing w:after="0" w:line="240" w:lineRule="auto"/>
        <w:rPr>
          <w:rFonts w:ascii="Trebuchet MS" w:hAnsi="Trebuchet MS"/>
          <w:b/>
          <w:bCs/>
        </w:rPr>
      </w:pPr>
    </w:p>
    <w:p w14:paraId="49995026" w14:textId="641B7C57" w:rsidR="0039063F" w:rsidRPr="00355B4C" w:rsidRDefault="0039063F" w:rsidP="002B057E">
      <w:pPr>
        <w:spacing w:after="0" w:line="240" w:lineRule="auto"/>
        <w:rPr>
          <w:rFonts w:ascii="Trebuchet MS" w:hAnsi="Trebuchet MS"/>
          <w:b/>
          <w:bCs/>
        </w:rPr>
      </w:pPr>
      <w:r>
        <w:rPr>
          <w:rFonts w:ascii="Trebuchet MS" w:hAnsi="Trebuchet MS"/>
          <w:b/>
          <w:bCs/>
        </w:rPr>
        <w:t>Planning Policy West Be</w:t>
      </w:r>
      <w:bookmarkStart w:id="0" w:name="_GoBack"/>
      <w:bookmarkEnd w:id="0"/>
      <w:r>
        <w:rPr>
          <w:rFonts w:ascii="Trebuchet MS" w:hAnsi="Trebuchet MS"/>
          <w:b/>
          <w:bCs/>
        </w:rPr>
        <w:t>rkshire District Council</w:t>
      </w:r>
    </w:p>
    <w:p w14:paraId="1A2150C7" w14:textId="0B24A98E" w:rsidR="002B057E" w:rsidRPr="00355B4C" w:rsidRDefault="002B057E" w:rsidP="002B057E">
      <w:pPr>
        <w:spacing w:after="0" w:line="240" w:lineRule="auto"/>
        <w:rPr>
          <w:rFonts w:ascii="Trebuchet MS" w:hAnsi="Trebuchet MS"/>
          <w:b/>
          <w:bCs/>
        </w:rPr>
      </w:pPr>
    </w:p>
    <w:p w14:paraId="70E28EC6" w14:textId="14F6EFBF" w:rsidR="002B057E" w:rsidRPr="00355B4C" w:rsidRDefault="002B057E" w:rsidP="002B057E">
      <w:pPr>
        <w:spacing w:after="0" w:line="240" w:lineRule="auto"/>
        <w:ind w:left="567" w:hanging="567"/>
        <w:rPr>
          <w:rFonts w:ascii="Trebuchet MS" w:hAnsi="Trebuchet MS"/>
          <w:b/>
          <w:bCs/>
        </w:rPr>
      </w:pPr>
      <w:r w:rsidRPr="00355B4C">
        <w:rPr>
          <w:rFonts w:ascii="Trebuchet MS" w:hAnsi="Trebuchet MS"/>
          <w:b/>
          <w:bCs/>
        </w:rPr>
        <w:t xml:space="preserve">1. </w:t>
      </w:r>
      <w:r w:rsidRPr="00355B4C">
        <w:rPr>
          <w:rFonts w:ascii="Trebuchet MS" w:hAnsi="Trebuchet MS"/>
          <w:b/>
          <w:bCs/>
        </w:rPr>
        <w:tab/>
        <w:t>Introduction</w:t>
      </w:r>
    </w:p>
    <w:p w14:paraId="30BA0092" w14:textId="77777777" w:rsidR="002B057E" w:rsidRPr="00355B4C" w:rsidRDefault="002B057E" w:rsidP="002B057E">
      <w:pPr>
        <w:spacing w:after="0" w:line="240" w:lineRule="auto"/>
        <w:rPr>
          <w:rFonts w:ascii="Trebuchet MS" w:hAnsi="Trebuchet MS"/>
        </w:rPr>
      </w:pPr>
    </w:p>
    <w:p w14:paraId="18895619" w14:textId="4DD41A4F" w:rsidR="002B057E" w:rsidRPr="00355B4C" w:rsidRDefault="002B057E" w:rsidP="002B057E">
      <w:pPr>
        <w:spacing w:after="0" w:line="240" w:lineRule="auto"/>
        <w:ind w:left="567" w:hanging="567"/>
        <w:rPr>
          <w:rFonts w:ascii="Trebuchet MS" w:hAnsi="Trebuchet MS"/>
        </w:rPr>
      </w:pPr>
      <w:r w:rsidRPr="00355B4C">
        <w:rPr>
          <w:rFonts w:ascii="Trebuchet MS" w:hAnsi="Trebuchet MS"/>
        </w:rPr>
        <w:t>1.1</w:t>
      </w:r>
      <w:r w:rsidRPr="00355B4C">
        <w:rPr>
          <w:rFonts w:ascii="Trebuchet MS" w:hAnsi="Trebuchet MS"/>
        </w:rPr>
        <w:tab/>
        <w:t>The Planning White Paper (‘Planning for the Future’)</w:t>
      </w:r>
      <w:r w:rsidR="00B4178F" w:rsidRPr="00355B4C">
        <w:rPr>
          <w:rStyle w:val="FootnoteReference"/>
          <w:rFonts w:ascii="Trebuchet MS" w:hAnsi="Trebuchet MS"/>
        </w:rPr>
        <w:footnoteReference w:id="1"/>
      </w:r>
      <w:r w:rsidRPr="00355B4C">
        <w:rPr>
          <w:rFonts w:ascii="Trebuchet MS" w:hAnsi="Trebuchet MS"/>
        </w:rPr>
        <w:t xml:space="preserve"> was published on 6</w:t>
      </w:r>
      <w:r w:rsidRPr="00355B4C">
        <w:rPr>
          <w:rFonts w:ascii="Trebuchet MS" w:hAnsi="Trebuchet MS"/>
          <w:vertAlign w:val="superscript"/>
        </w:rPr>
        <w:t>th</w:t>
      </w:r>
      <w:r w:rsidRPr="00355B4C">
        <w:rPr>
          <w:rFonts w:ascii="Trebuchet MS" w:hAnsi="Trebuchet MS"/>
        </w:rPr>
        <w:t xml:space="preserve"> August.  It proposes the most fundamental change to the planning system since the current system was introduced in 1947.  The document has been published for consultation, with an end date of </w:t>
      </w:r>
      <w:r w:rsidR="00355B4C" w:rsidRPr="00355B4C">
        <w:rPr>
          <w:rFonts w:ascii="Trebuchet MS" w:hAnsi="Trebuchet MS"/>
        </w:rPr>
        <w:t>29</w:t>
      </w:r>
      <w:r w:rsidR="00355B4C" w:rsidRPr="00355B4C">
        <w:rPr>
          <w:rFonts w:ascii="Trebuchet MS" w:hAnsi="Trebuchet MS"/>
          <w:vertAlign w:val="superscript"/>
        </w:rPr>
        <w:t>th</w:t>
      </w:r>
      <w:r w:rsidR="00355B4C" w:rsidRPr="00355B4C">
        <w:rPr>
          <w:rFonts w:ascii="Trebuchet MS" w:hAnsi="Trebuchet MS"/>
        </w:rPr>
        <w:t xml:space="preserve"> </w:t>
      </w:r>
      <w:r w:rsidRPr="00355B4C">
        <w:rPr>
          <w:rFonts w:ascii="Trebuchet MS" w:hAnsi="Trebuchet MS"/>
        </w:rPr>
        <w:t>October.  The proposal is to bring a draft response to the meeting of Council on 20</w:t>
      </w:r>
      <w:r w:rsidRPr="00355B4C">
        <w:rPr>
          <w:rFonts w:ascii="Trebuchet MS" w:hAnsi="Trebuchet MS"/>
          <w:vertAlign w:val="superscript"/>
        </w:rPr>
        <w:t>th</w:t>
      </w:r>
      <w:r w:rsidRPr="00355B4C">
        <w:rPr>
          <w:rFonts w:ascii="Trebuchet MS" w:hAnsi="Trebuchet MS"/>
        </w:rPr>
        <w:t xml:space="preserve"> October.</w:t>
      </w:r>
    </w:p>
    <w:p w14:paraId="42E149E9" w14:textId="57DD4D4E" w:rsidR="002B057E" w:rsidRPr="00355B4C" w:rsidRDefault="002B057E" w:rsidP="002B057E">
      <w:pPr>
        <w:spacing w:after="0" w:line="240" w:lineRule="auto"/>
        <w:rPr>
          <w:rFonts w:ascii="Trebuchet MS" w:hAnsi="Trebuchet MS"/>
        </w:rPr>
      </w:pPr>
    </w:p>
    <w:p w14:paraId="5FEB851F" w14:textId="17D92902" w:rsidR="002B057E" w:rsidRDefault="002B057E" w:rsidP="002B057E">
      <w:pPr>
        <w:spacing w:after="0" w:line="240" w:lineRule="auto"/>
        <w:ind w:left="567" w:hanging="567"/>
        <w:rPr>
          <w:rFonts w:ascii="Trebuchet MS" w:hAnsi="Trebuchet MS"/>
        </w:rPr>
      </w:pPr>
      <w:r w:rsidRPr="00355B4C">
        <w:rPr>
          <w:rFonts w:ascii="Trebuchet MS" w:hAnsi="Trebuchet MS"/>
        </w:rPr>
        <w:t>1.2</w:t>
      </w:r>
      <w:r w:rsidRPr="00355B4C">
        <w:rPr>
          <w:rFonts w:ascii="Trebuchet MS" w:hAnsi="Trebuchet MS"/>
        </w:rPr>
        <w:tab/>
        <w:t>Alongside the White Paper, a number of other planning changes are being consulted upon, over the same timescale, which would operate within the current system and would be introduced through national policy and legislation.  This note also deals with those changes, and they would be included within the draft response to be considered by Council.</w:t>
      </w:r>
    </w:p>
    <w:p w14:paraId="0106F730" w14:textId="0345AE87" w:rsidR="00355B4C" w:rsidRDefault="00355B4C" w:rsidP="002B057E">
      <w:pPr>
        <w:spacing w:after="0" w:line="240" w:lineRule="auto"/>
        <w:ind w:left="567" w:hanging="567"/>
        <w:rPr>
          <w:rFonts w:ascii="Trebuchet MS" w:hAnsi="Trebuchet MS"/>
        </w:rPr>
      </w:pPr>
    </w:p>
    <w:p w14:paraId="23452C77" w14:textId="58966351" w:rsidR="00355B4C" w:rsidRPr="00355B4C" w:rsidRDefault="00355B4C" w:rsidP="002B057E">
      <w:pPr>
        <w:spacing w:after="0" w:line="240" w:lineRule="auto"/>
        <w:ind w:left="567" w:hanging="567"/>
        <w:rPr>
          <w:rFonts w:ascii="Trebuchet MS" w:hAnsi="Trebuchet MS"/>
        </w:rPr>
      </w:pPr>
      <w:r>
        <w:rPr>
          <w:rFonts w:ascii="Trebuchet MS" w:hAnsi="Trebuchet MS"/>
        </w:rPr>
        <w:t>1.3</w:t>
      </w:r>
      <w:r>
        <w:rPr>
          <w:rFonts w:ascii="Trebuchet MS" w:hAnsi="Trebuchet MS"/>
        </w:rPr>
        <w:tab/>
        <w:t>This note summarises the proposed changes.  Whilst some commen</w:t>
      </w:r>
      <w:r w:rsidR="00F82F7C">
        <w:rPr>
          <w:rFonts w:ascii="Trebuchet MS" w:hAnsi="Trebuchet MS"/>
        </w:rPr>
        <w:t>tary on implications for West Berkshire</w:t>
      </w:r>
      <w:r>
        <w:rPr>
          <w:rFonts w:ascii="Trebuchet MS" w:hAnsi="Trebuchet MS"/>
        </w:rPr>
        <w:t xml:space="preserve"> is included where appropriate, it does not form a full assessment of implications</w:t>
      </w:r>
      <w:r w:rsidR="00F82F7C">
        <w:rPr>
          <w:rFonts w:ascii="Trebuchet MS" w:hAnsi="Trebuchet MS"/>
        </w:rPr>
        <w:t xml:space="preserve">. </w:t>
      </w:r>
    </w:p>
    <w:p w14:paraId="590F0D42" w14:textId="77777777" w:rsidR="00355B4C" w:rsidRPr="00355B4C" w:rsidRDefault="00355B4C" w:rsidP="002B057E">
      <w:pPr>
        <w:spacing w:after="0" w:line="240" w:lineRule="auto"/>
        <w:ind w:left="567" w:hanging="567"/>
        <w:rPr>
          <w:rFonts w:ascii="Trebuchet MS" w:hAnsi="Trebuchet MS"/>
        </w:rPr>
      </w:pPr>
    </w:p>
    <w:p w14:paraId="5242AADD" w14:textId="77777777" w:rsidR="00355B4C" w:rsidRPr="00355B4C" w:rsidRDefault="00355B4C" w:rsidP="00355B4C">
      <w:pPr>
        <w:spacing w:after="0" w:line="240" w:lineRule="auto"/>
        <w:ind w:left="567" w:hanging="567"/>
        <w:rPr>
          <w:rFonts w:ascii="Trebuchet MS" w:hAnsi="Trebuchet MS"/>
          <w:b/>
          <w:bCs/>
        </w:rPr>
      </w:pPr>
      <w:r w:rsidRPr="00355B4C">
        <w:rPr>
          <w:rFonts w:ascii="Trebuchet MS" w:hAnsi="Trebuchet MS"/>
          <w:b/>
          <w:bCs/>
        </w:rPr>
        <w:t>2.</w:t>
      </w:r>
      <w:r w:rsidRPr="00355B4C">
        <w:rPr>
          <w:rFonts w:ascii="Trebuchet MS" w:hAnsi="Trebuchet MS"/>
          <w:b/>
          <w:bCs/>
        </w:rPr>
        <w:tab/>
        <w:t>Planning White Paper</w:t>
      </w:r>
    </w:p>
    <w:p w14:paraId="62A1CC41" w14:textId="77777777" w:rsidR="00355B4C" w:rsidRPr="00355B4C" w:rsidRDefault="00355B4C" w:rsidP="00355B4C">
      <w:pPr>
        <w:spacing w:after="0" w:line="240" w:lineRule="auto"/>
        <w:rPr>
          <w:rFonts w:ascii="Trebuchet MS" w:hAnsi="Trebuchet MS"/>
        </w:rPr>
      </w:pPr>
    </w:p>
    <w:p w14:paraId="7425CFFF" w14:textId="14CEE70B"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2.1</w:t>
      </w:r>
      <w:r w:rsidRPr="00355B4C">
        <w:rPr>
          <w:rFonts w:ascii="Trebuchet MS" w:hAnsi="Trebuchet MS"/>
        </w:rPr>
        <w:tab/>
        <w:t>The Planning White Paper proposes a complete replacement of the current planning system that was established in 1947.  It starts from the assumption that the current system is unfit for purpose and stands as a significant block on the development that the country needs, and</w:t>
      </w:r>
      <w:r>
        <w:rPr>
          <w:rFonts w:ascii="Trebuchet MS" w:hAnsi="Trebuchet MS"/>
        </w:rPr>
        <w:t>,</w:t>
      </w:r>
      <w:r w:rsidRPr="00355B4C">
        <w:rPr>
          <w:rFonts w:ascii="Trebuchet MS" w:hAnsi="Trebuchet MS"/>
        </w:rPr>
        <w:t xml:space="preserve"> in particular</w:t>
      </w:r>
      <w:r>
        <w:rPr>
          <w:rFonts w:ascii="Trebuchet MS" w:hAnsi="Trebuchet MS"/>
        </w:rPr>
        <w:t>,</w:t>
      </w:r>
      <w:r w:rsidRPr="00355B4C">
        <w:rPr>
          <w:rFonts w:ascii="Trebuchet MS" w:hAnsi="Trebuchet MS"/>
        </w:rPr>
        <w:t xml:space="preserve"> that it is responsible for the current housing crisis.  The motivation for the </w:t>
      </w:r>
      <w:r>
        <w:rPr>
          <w:rFonts w:ascii="Trebuchet MS" w:hAnsi="Trebuchet MS"/>
        </w:rPr>
        <w:t>overhaul</w:t>
      </w:r>
      <w:r w:rsidRPr="00355B4C">
        <w:rPr>
          <w:rFonts w:ascii="Trebuchet MS" w:hAnsi="Trebuchet MS"/>
        </w:rPr>
        <w:t xml:space="preserve"> </w:t>
      </w:r>
      <w:r>
        <w:rPr>
          <w:rFonts w:ascii="Trebuchet MS" w:hAnsi="Trebuchet MS"/>
        </w:rPr>
        <w:t>is</w:t>
      </w:r>
      <w:r w:rsidRPr="00355B4C">
        <w:rPr>
          <w:rFonts w:ascii="Trebuchet MS" w:hAnsi="Trebuchet MS"/>
        </w:rPr>
        <w:t xml:space="preserve"> therefore to remove barriers to development.</w:t>
      </w:r>
    </w:p>
    <w:p w14:paraId="69A96989" w14:textId="77777777" w:rsidR="00355B4C" w:rsidRPr="00355B4C" w:rsidRDefault="00355B4C" w:rsidP="00355B4C">
      <w:pPr>
        <w:spacing w:after="0" w:line="240" w:lineRule="auto"/>
        <w:ind w:left="567" w:hanging="567"/>
        <w:rPr>
          <w:rFonts w:ascii="Trebuchet MS" w:hAnsi="Trebuchet MS"/>
        </w:rPr>
      </w:pPr>
    </w:p>
    <w:p w14:paraId="2342AF5F" w14:textId="522CE879"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2.2</w:t>
      </w:r>
      <w:r w:rsidRPr="00355B4C">
        <w:rPr>
          <w:rFonts w:ascii="Trebuchet MS" w:hAnsi="Trebuchet MS"/>
        </w:rPr>
        <w:tab/>
        <w:t xml:space="preserve">At its heart, the White Paper proposes a form of zoning system, whereby the use of all land is defined at the plan-making stage, which means that the planning application process is substantially reduced.  Zoning systems exist in many other countries, including most European countries, but the current proposals do not seem to be based on any existing systems from </w:t>
      </w:r>
      <w:r w:rsidR="00786C2A">
        <w:rPr>
          <w:rFonts w:ascii="Trebuchet MS" w:hAnsi="Trebuchet MS"/>
        </w:rPr>
        <w:t>elsewhere</w:t>
      </w:r>
      <w:r w:rsidRPr="00355B4C">
        <w:rPr>
          <w:rFonts w:ascii="Trebuchet MS" w:hAnsi="Trebuchet MS"/>
        </w:rPr>
        <w:t>.</w:t>
      </w:r>
    </w:p>
    <w:p w14:paraId="504E99FD" w14:textId="77777777" w:rsidR="00355B4C" w:rsidRPr="00355B4C" w:rsidRDefault="00355B4C" w:rsidP="00355B4C">
      <w:pPr>
        <w:spacing w:after="0" w:line="240" w:lineRule="auto"/>
        <w:ind w:left="567" w:hanging="567"/>
        <w:rPr>
          <w:rFonts w:ascii="Trebuchet MS" w:hAnsi="Trebuchet MS"/>
        </w:rPr>
      </w:pPr>
    </w:p>
    <w:p w14:paraId="72766DE0" w14:textId="77777777"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2.3</w:t>
      </w:r>
      <w:r w:rsidRPr="00355B4C">
        <w:rPr>
          <w:rFonts w:ascii="Trebuchet MS" w:hAnsi="Trebuchet MS"/>
        </w:rPr>
        <w:tab/>
        <w:t>The White Paper is based around the following three pillars:</w:t>
      </w:r>
      <w:bookmarkStart w:id="1" w:name="_Hlk48038730"/>
    </w:p>
    <w:p w14:paraId="44622AF4" w14:textId="77777777" w:rsidR="00355B4C" w:rsidRPr="00355B4C" w:rsidRDefault="00355B4C" w:rsidP="00786C2A">
      <w:pPr>
        <w:pStyle w:val="ListParagraph"/>
        <w:numPr>
          <w:ilvl w:val="0"/>
          <w:numId w:val="6"/>
        </w:numPr>
        <w:spacing w:after="0" w:line="240" w:lineRule="auto"/>
        <w:ind w:left="851" w:hanging="284"/>
        <w:rPr>
          <w:rFonts w:ascii="Trebuchet MS" w:hAnsi="Trebuchet MS"/>
        </w:rPr>
      </w:pPr>
      <w:r w:rsidRPr="00355B4C">
        <w:rPr>
          <w:rFonts w:ascii="Trebuchet MS" w:hAnsi="Trebuchet MS"/>
        </w:rPr>
        <w:t>Pillar One – Planning for Development</w:t>
      </w:r>
    </w:p>
    <w:p w14:paraId="0516A0CB" w14:textId="77777777" w:rsidR="00355B4C" w:rsidRPr="00355B4C" w:rsidRDefault="00355B4C" w:rsidP="00786C2A">
      <w:pPr>
        <w:pStyle w:val="ListParagraph"/>
        <w:numPr>
          <w:ilvl w:val="0"/>
          <w:numId w:val="6"/>
        </w:numPr>
        <w:spacing w:after="0" w:line="240" w:lineRule="auto"/>
        <w:ind w:left="851" w:hanging="284"/>
        <w:rPr>
          <w:rFonts w:ascii="Trebuchet MS" w:hAnsi="Trebuchet MS"/>
        </w:rPr>
      </w:pPr>
      <w:r w:rsidRPr="00355B4C">
        <w:rPr>
          <w:rFonts w:ascii="Trebuchet MS" w:hAnsi="Trebuchet MS"/>
        </w:rPr>
        <w:t>Pillar Two – Planning for Beautiful and Sustainable Places</w:t>
      </w:r>
    </w:p>
    <w:p w14:paraId="50235088" w14:textId="77777777" w:rsidR="00355B4C" w:rsidRPr="00355B4C" w:rsidRDefault="00355B4C" w:rsidP="00786C2A">
      <w:pPr>
        <w:pStyle w:val="ListParagraph"/>
        <w:numPr>
          <w:ilvl w:val="0"/>
          <w:numId w:val="6"/>
        </w:numPr>
        <w:spacing w:after="0" w:line="240" w:lineRule="auto"/>
        <w:ind w:left="851" w:hanging="284"/>
        <w:rPr>
          <w:rFonts w:ascii="Trebuchet MS" w:hAnsi="Trebuchet MS"/>
        </w:rPr>
      </w:pPr>
      <w:r w:rsidRPr="00355B4C">
        <w:rPr>
          <w:rFonts w:ascii="Trebuchet MS" w:hAnsi="Trebuchet MS"/>
        </w:rPr>
        <w:t>Pillar Three – Planning for Infrastructure and Connected Places</w:t>
      </w:r>
    </w:p>
    <w:bookmarkEnd w:id="1"/>
    <w:p w14:paraId="75D54180" w14:textId="77777777" w:rsidR="00355B4C" w:rsidRPr="00355B4C" w:rsidRDefault="00355B4C" w:rsidP="00355B4C">
      <w:pPr>
        <w:spacing w:after="0" w:line="240" w:lineRule="auto"/>
        <w:rPr>
          <w:rFonts w:ascii="Trebuchet MS" w:hAnsi="Trebuchet MS"/>
        </w:rPr>
      </w:pPr>
    </w:p>
    <w:p w14:paraId="113ED260" w14:textId="77777777"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2.4</w:t>
      </w:r>
      <w:r w:rsidRPr="00355B4C">
        <w:rPr>
          <w:rFonts w:ascii="Trebuchet MS" w:hAnsi="Trebuchet MS"/>
        </w:rPr>
        <w:tab/>
        <w:t xml:space="preserve">The following are some of the main elements to be aware of in </w:t>
      </w:r>
      <w:r w:rsidRPr="00355B4C">
        <w:rPr>
          <w:rFonts w:ascii="Trebuchet MS" w:hAnsi="Trebuchet MS"/>
          <w:b/>
          <w:bCs/>
        </w:rPr>
        <w:t>Pillar One – Planning for Development</w:t>
      </w:r>
      <w:r w:rsidRPr="00355B4C">
        <w:rPr>
          <w:rFonts w:ascii="Trebuchet MS" w:hAnsi="Trebuchet MS"/>
        </w:rPr>
        <w:t>:</w:t>
      </w:r>
    </w:p>
    <w:p w14:paraId="32195E8E" w14:textId="77777777" w:rsidR="00355B4C" w:rsidRPr="00355B4C" w:rsidRDefault="00355B4C" w:rsidP="00355B4C">
      <w:pPr>
        <w:spacing w:after="0" w:line="240" w:lineRule="auto"/>
        <w:ind w:left="567" w:hanging="567"/>
        <w:rPr>
          <w:rFonts w:ascii="Trebuchet MS" w:hAnsi="Trebuchet MS"/>
        </w:rPr>
      </w:pPr>
    </w:p>
    <w:p w14:paraId="124D3179" w14:textId="77777777" w:rsidR="00355B4C" w:rsidRPr="00355B4C" w:rsidRDefault="00355B4C" w:rsidP="00355B4C">
      <w:pPr>
        <w:pStyle w:val="ListParagraph"/>
        <w:numPr>
          <w:ilvl w:val="0"/>
          <w:numId w:val="8"/>
        </w:numPr>
        <w:spacing w:after="0" w:line="240" w:lineRule="auto"/>
        <w:ind w:left="851" w:hanging="284"/>
        <w:contextualSpacing w:val="0"/>
        <w:rPr>
          <w:rFonts w:ascii="Trebuchet MS" w:hAnsi="Trebuchet MS"/>
        </w:rPr>
      </w:pPr>
      <w:r w:rsidRPr="00355B4C">
        <w:rPr>
          <w:rFonts w:ascii="Trebuchet MS" w:hAnsi="Trebuchet MS"/>
        </w:rPr>
        <w:t>Local Plans would be fundamentally changed, to become first and foremost map-based, using a standard national template and software, dividing all land in their area into three categories: ‘growth’, ‘renewal’ and ‘protection’.</w:t>
      </w:r>
    </w:p>
    <w:p w14:paraId="366FB82A" w14:textId="77777777" w:rsidR="00355B4C" w:rsidRPr="00355B4C" w:rsidRDefault="00355B4C" w:rsidP="00355B4C">
      <w:pPr>
        <w:pStyle w:val="ListParagraph"/>
        <w:spacing w:after="0" w:line="240" w:lineRule="auto"/>
        <w:ind w:left="851" w:hanging="284"/>
        <w:contextualSpacing w:val="0"/>
        <w:rPr>
          <w:rFonts w:ascii="Trebuchet MS" w:hAnsi="Trebuchet MS"/>
        </w:rPr>
      </w:pPr>
    </w:p>
    <w:p w14:paraId="76F8E87D" w14:textId="77777777" w:rsidR="00355B4C" w:rsidRPr="00355B4C" w:rsidRDefault="00355B4C" w:rsidP="00355B4C">
      <w:pPr>
        <w:pStyle w:val="ListParagraph"/>
        <w:numPr>
          <w:ilvl w:val="0"/>
          <w:numId w:val="8"/>
        </w:numPr>
        <w:spacing w:after="0" w:line="240" w:lineRule="auto"/>
        <w:ind w:left="851" w:hanging="284"/>
        <w:contextualSpacing w:val="0"/>
        <w:rPr>
          <w:rFonts w:ascii="Trebuchet MS" w:hAnsi="Trebuchet MS"/>
        </w:rPr>
      </w:pPr>
      <w:r w:rsidRPr="00355B4C">
        <w:rPr>
          <w:rFonts w:ascii="Trebuchet MS" w:hAnsi="Trebuchet MS"/>
        </w:rPr>
        <w:lastRenderedPageBreak/>
        <w:t>Land for ‘growth’ would be suitable for substantial development (with substantial being defined in policy), i.e. comprehensive development/redevelopment.  Inclusion in the Local Plan would automatically confer outline approval or permission in principle.  Flood zones would be excluded (unless risk can be fully mitigated).</w:t>
      </w:r>
    </w:p>
    <w:p w14:paraId="45FBFD52" w14:textId="77777777" w:rsidR="00355B4C" w:rsidRPr="00355B4C" w:rsidRDefault="00355B4C" w:rsidP="00355B4C">
      <w:pPr>
        <w:spacing w:after="0" w:line="240" w:lineRule="auto"/>
        <w:ind w:left="851" w:hanging="284"/>
        <w:rPr>
          <w:rFonts w:ascii="Trebuchet MS" w:hAnsi="Trebuchet MS"/>
        </w:rPr>
      </w:pPr>
    </w:p>
    <w:p w14:paraId="6CEE3919" w14:textId="77777777" w:rsidR="00F82F7C" w:rsidRDefault="00355B4C" w:rsidP="00F82F7C">
      <w:pPr>
        <w:pStyle w:val="ListParagraph"/>
        <w:numPr>
          <w:ilvl w:val="0"/>
          <w:numId w:val="8"/>
        </w:numPr>
        <w:spacing w:after="0" w:line="240" w:lineRule="auto"/>
        <w:ind w:left="851" w:hanging="284"/>
        <w:contextualSpacing w:val="0"/>
        <w:rPr>
          <w:rFonts w:ascii="Trebuchet MS" w:hAnsi="Trebuchet MS"/>
        </w:rPr>
      </w:pPr>
      <w:r w:rsidRPr="00355B4C">
        <w:rPr>
          <w:rFonts w:ascii="Trebuchet MS" w:hAnsi="Trebuchet MS"/>
        </w:rPr>
        <w:t xml:space="preserve">Land for ‘renewal’ would be suitable for development, which would cover existing urban areas, and include infill, town centre development etc, with the Local Plan specifying which development would be suitable where.  There would be a statutory presumption in favour of development for the uses specified, and this will include some kind of automatic permission where a development complies with the specifications of the plan.  This is referred to as a ‘fast-track to beauty’ process.  </w:t>
      </w:r>
    </w:p>
    <w:p w14:paraId="5AACA602" w14:textId="77777777" w:rsidR="00F82F7C" w:rsidRPr="00F82F7C" w:rsidRDefault="00F82F7C" w:rsidP="00F82F7C">
      <w:pPr>
        <w:pStyle w:val="ListParagraph"/>
        <w:rPr>
          <w:rFonts w:ascii="Trebuchet MS" w:hAnsi="Trebuchet MS"/>
        </w:rPr>
      </w:pPr>
    </w:p>
    <w:p w14:paraId="30BAA557" w14:textId="77777777" w:rsidR="00F82F7C" w:rsidRDefault="00355B4C" w:rsidP="00F82F7C">
      <w:pPr>
        <w:pStyle w:val="ListParagraph"/>
        <w:numPr>
          <w:ilvl w:val="0"/>
          <w:numId w:val="8"/>
        </w:numPr>
        <w:spacing w:after="0" w:line="240" w:lineRule="auto"/>
        <w:ind w:left="851" w:hanging="284"/>
        <w:contextualSpacing w:val="0"/>
        <w:rPr>
          <w:rFonts w:ascii="Trebuchet MS" w:hAnsi="Trebuchet MS"/>
        </w:rPr>
      </w:pPr>
      <w:r w:rsidRPr="00355B4C">
        <w:rPr>
          <w:rFonts w:ascii="Trebuchet MS" w:hAnsi="Trebuchet MS"/>
        </w:rPr>
        <w:t>Land for ‘protection’ will be land where more stringent controls appl</w:t>
      </w:r>
      <w:r w:rsidR="00786C2A">
        <w:rPr>
          <w:rFonts w:ascii="Trebuchet MS" w:hAnsi="Trebuchet MS"/>
        </w:rPr>
        <w:t>y</w:t>
      </w:r>
      <w:r w:rsidRPr="00355B4C">
        <w:rPr>
          <w:rFonts w:ascii="Trebuchet MS" w:hAnsi="Trebuchet MS"/>
        </w:rPr>
        <w:t xml:space="preserve">, either defined nationally or locally on the basis of policies in the NPPF </w:t>
      </w:r>
      <w:r w:rsidR="00786C2A">
        <w:rPr>
          <w:rFonts w:ascii="Trebuchet MS" w:hAnsi="Trebuchet MS"/>
        </w:rPr>
        <w:t>(</w:t>
      </w:r>
      <w:r w:rsidRPr="00355B4C">
        <w:rPr>
          <w:rFonts w:ascii="Trebuchet MS" w:hAnsi="Trebuchet MS"/>
        </w:rPr>
        <w:t>the implication being that local authorities would not have scope to invent their own protection categories).  These could include Green Belt, Areas of Outstanding Natural Beauty, Local Wildlife Sites, local green spaces and conservation areas.  Here, a planning application would be required as is the case currently.  The paper states that this can include back gardens</w:t>
      </w:r>
      <w:r w:rsidR="00786C2A">
        <w:rPr>
          <w:rFonts w:ascii="Trebuchet MS" w:hAnsi="Trebuchet MS"/>
        </w:rPr>
        <w:t>. It is worth noting that the automatic permission in a ‘growth’ area does not seem be reflected in an automatic refusal in a ‘protection’ area.</w:t>
      </w:r>
      <w:r w:rsidR="00F82F7C">
        <w:rPr>
          <w:rFonts w:ascii="Trebuchet MS" w:hAnsi="Trebuchet MS"/>
        </w:rPr>
        <w:t xml:space="preserve"> </w:t>
      </w:r>
    </w:p>
    <w:p w14:paraId="73B0D54D" w14:textId="77777777" w:rsidR="00F82F7C" w:rsidRPr="00F82F7C" w:rsidRDefault="00F82F7C" w:rsidP="00F82F7C">
      <w:pPr>
        <w:pStyle w:val="ListParagraph"/>
        <w:rPr>
          <w:rFonts w:ascii="Trebuchet MS" w:hAnsi="Trebuchet MS"/>
        </w:rPr>
      </w:pPr>
    </w:p>
    <w:p w14:paraId="468F0EAD" w14:textId="6C451A91" w:rsidR="00355B4C" w:rsidRPr="00355B4C" w:rsidRDefault="00F82F7C" w:rsidP="00F82F7C">
      <w:pPr>
        <w:pStyle w:val="ListParagraph"/>
        <w:numPr>
          <w:ilvl w:val="0"/>
          <w:numId w:val="8"/>
        </w:numPr>
        <w:spacing w:after="0" w:line="240" w:lineRule="auto"/>
        <w:ind w:left="851" w:hanging="284"/>
        <w:contextualSpacing w:val="0"/>
        <w:rPr>
          <w:rFonts w:ascii="Trebuchet MS" w:hAnsi="Trebuchet MS"/>
        </w:rPr>
      </w:pPr>
      <w:r>
        <w:rPr>
          <w:rFonts w:ascii="Trebuchet MS" w:hAnsi="Trebuchet MS"/>
        </w:rPr>
        <w:t xml:space="preserve">It is likely that most of West Berkshire would be protected as shown below: </w:t>
      </w:r>
    </w:p>
    <w:p w14:paraId="7932D1E5" w14:textId="77777777" w:rsidR="00355B4C" w:rsidRDefault="00355B4C" w:rsidP="00355B4C">
      <w:pPr>
        <w:pStyle w:val="ListParagraph"/>
        <w:spacing w:after="0" w:line="240" w:lineRule="auto"/>
        <w:ind w:left="851"/>
        <w:contextualSpacing w:val="0"/>
        <w:rPr>
          <w:rFonts w:ascii="Trebuchet MS" w:hAnsi="Trebuchet MS"/>
        </w:rPr>
      </w:pPr>
    </w:p>
    <w:p w14:paraId="2B9360BF" w14:textId="2DFF4E9B" w:rsidR="00F82F7C" w:rsidRDefault="00F82F7C" w:rsidP="00355B4C">
      <w:pPr>
        <w:pStyle w:val="ListParagraph"/>
        <w:spacing w:after="0" w:line="240" w:lineRule="auto"/>
        <w:ind w:left="851"/>
        <w:contextualSpacing w:val="0"/>
        <w:rPr>
          <w:rFonts w:ascii="Trebuchet MS" w:hAnsi="Trebuchet MS"/>
        </w:rPr>
      </w:pPr>
      <w:r>
        <w:rPr>
          <w:noProof/>
          <w:lang w:eastAsia="en-GB"/>
        </w:rPr>
        <w:drawing>
          <wp:inline distT="0" distB="0" distL="0" distR="0" wp14:anchorId="36775BB0" wp14:editId="0C04E382">
            <wp:extent cx="5731510" cy="40017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01770"/>
                    </a:xfrm>
                    <a:prstGeom prst="rect">
                      <a:avLst/>
                    </a:prstGeom>
                  </pic:spPr>
                </pic:pic>
              </a:graphicData>
            </a:graphic>
          </wp:inline>
        </w:drawing>
      </w:r>
    </w:p>
    <w:p w14:paraId="426B7D81" w14:textId="77777777" w:rsidR="00F82F7C" w:rsidRPr="00355B4C" w:rsidRDefault="00F82F7C" w:rsidP="00355B4C">
      <w:pPr>
        <w:pStyle w:val="ListParagraph"/>
        <w:spacing w:after="0" w:line="240" w:lineRule="auto"/>
        <w:ind w:left="851"/>
        <w:contextualSpacing w:val="0"/>
        <w:rPr>
          <w:rFonts w:ascii="Trebuchet MS" w:hAnsi="Trebuchet MS"/>
        </w:rPr>
      </w:pPr>
    </w:p>
    <w:p w14:paraId="2DAB303C" w14:textId="77777777"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lastRenderedPageBreak/>
        <w:t>Policy in the local plan would be restricted to clear and necessary area- or site-specific parameters, such as height and density.  General development management policies would be set out in national policy only.</w:t>
      </w:r>
    </w:p>
    <w:p w14:paraId="1B6632F5" w14:textId="77777777" w:rsidR="00355B4C" w:rsidRPr="00355B4C" w:rsidRDefault="00355B4C" w:rsidP="00355B4C">
      <w:pPr>
        <w:spacing w:after="0" w:line="240" w:lineRule="auto"/>
        <w:rPr>
          <w:rFonts w:ascii="Trebuchet MS" w:hAnsi="Trebuchet MS"/>
        </w:rPr>
      </w:pPr>
    </w:p>
    <w:p w14:paraId="3ABDAD95" w14:textId="77777777"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Design guides and codes would be produced for local areas and either included within the plan or later as a Supplementary Planning Document.</w:t>
      </w:r>
    </w:p>
    <w:p w14:paraId="19B8F909" w14:textId="77777777" w:rsidR="00355B4C" w:rsidRPr="00355B4C" w:rsidRDefault="00355B4C" w:rsidP="00355B4C">
      <w:pPr>
        <w:spacing w:after="0" w:line="240" w:lineRule="auto"/>
        <w:rPr>
          <w:rFonts w:ascii="Trebuchet MS" w:hAnsi="Trebuchet MS"/>
        </w:rPr>
      </w:pPr>
    </w:p>
    <w:p w14:paraId="683681D1" w14:textId="77777777"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 xml:space="preserve">Many of the plan-making requirements would be removed, for instance sustainability appraisal, duty to co-operate and the tests of soundness, and would be replaced with a simpler ‘sustainable development’ test. </w:t>
      </w:r>
    </w:p>
    <w:p w14:paraId="0E1F2DEF" w14:textId="77777777" w:rsidR="00355B4C" w:rsidRPr="00355B4C" w:rsidRDefault="00355B4C" w:rsidP="00355B4C">
      <w:pPr>
        <w:pStyle w:val="ListParagraph"/>
        <w:rPr>
          <w:rFonts w:ascii="Trebuchet MS" w:hAnsi="Trebuchet MS"/>
        </w:rPr>
      </w:pPr>
    </w:p>
    <w:p w14:paraId="5D31D8BA" w14:textId="77777777"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A binding housing figure would be set at a national level through a standard methodology.  This methodology would take account of constraints as well as need, unlike the current methodology, which is based on need only.</w:t>
      </w:r>
    </w:p>
    <w:p w14:paraId="5C544C88" w14:textId="77777777" w:rsidR="00355B4C" w:rsidRPr="00355B4C" w:rsidRDefault="00355B4C" w:rsidP="00355B4C">
      <w:pPr>
        <w:pStyle w:val="ListParagraph"/>
        <w:rPr>
          <w:rFonts w:ascii="Trebuchet MS" w:hAnsi="Trebuchet MS"/>
        </w:rPr>
      </w:pPr>
    </w:p>
    <w:p w14:paraId="2908EC01" w14:textId="47B4378D"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 xml:space="preserve">There would be a statutory 30 month timetable for Local Plan production (for comparison, the new Local Plan </w:t>
      </w:r>
      <w:r w:rsidR="00F82F7C">
        <w:rPr>
          <w:rFonts w:ascii="Trebuchet MS" w:hAnsi="Trebuchet MS"/>
        </w:rPr>
        <w:t>Review is taking around 5</w:t>
      </w:r>
      <w:r w:rsidRPr="00355B4C">
        <w:rPr>
          <w:rFonts w:ascii="Trebuchet MS" w:hAnsi="Trebuchet MS"/>
        </w:rPr>
        <w:t xml:space="preserve"> years to </w:t>
      </w:r>
      <w:r w:rsidR="00F82F7C">
        <w:rPr>
          <w:rFonts w:ascii="Trebuchet MS" w:hAnsi="Trebuchet MS"/>
        </w:rPr>
        <w:t>prepare to adoption</w:t>
      </w:r>
      <w:r w:rsidRPr="00355B4C">
        <w:rPr>
          <w:rFonts w:ascii="Trebuchet MS" w:hAnsi="Trebuchet MS"/>
        </w:rPr>
        <w:t xml:space="preserve">).  The new process would include only two consultation stages – an initial call for ideas/sites, and consultation on a full draft after the plan has been submitted.  Authorities would have </w:t>
      </w:r>
      <w:r w:rsidR="00786C2A">
        <w:rPr>
          <w:rFonts w:ascii="Trebuchet MS" w:hAnsi="Trebuchet MS"/>
        </w:rPr>
        <w:t xml:space="preserve">either 30 months (where there is no recent plan) or </w:t>
      </w:r>
      <w:r w:rsidRPr="00355B4C">
        <w:rPr>
          <w:rFonts w:ascii="Trebuchet MS" w:hAnsi="Trebuchet MS"/>
        </w:rPr>
        <w:t xml:space="preserve">42 months </w:t>
      </w:r>
      <w:r w:rsidR="00786C2A">
        <w:rPr>
          <w:rFonts w:ascii="Trebuchet MS" w:hAnsi="Trebuchet MS"/>
        </w:rPr>
        <w:t xml:space="preserve">(where there is a recent plan) </w:t>
      </w:r>
      <w:r w:rsidRPr="00355B4C">
        <w:rPr>
          <w:rFonts w:ascii="Trebuchet MS" w:hAnsi="Trebuchet MS"/>
        </w:rPr>
        <w:t>to adopt a new plan after the legislation comes into force.</w:t>
      </w:r>
      <w:r w:rsidR="00F82F7C">
        <w:rPr>
          <w:rFonts w:ascii="Trebuchet MS" w:hAnsi="Trebuchet MS"/>
        </w:rPr>
        <w:t xml:space="preserve"> </w:t>
      </w:r>
      <w:r w:rsidRPr="00355B4C">
        <w:rPr>
          <w:rFonts w:ascii="Trebuchet MS" w:hAnsi="Trebuchet MS"/>
        </w:rPr>
        <w:t xml:space="preserve"> The White Paper envisages that engagement will be made much more extensive and effective </w:t>
      </w:r>
      <w:r w:rsidR="00786C2A">
        <w:rPr>
          <w:rFonts w:ascii="Trebuchet MS" w:hAnsi="Trebuchet MS"/>
        </w:rPr>
        <w:t>at the plan-making stage</w:t>
      </w:r>
      <w:r w:rsidRPr="00355B4C">
        <w:rPr>
          <w:rFonts w:ascii="Trebuchet MS" w:hAnsi="Trebuchet MS"/>
        </w:rPr>
        <w:t>, to make up for loss of consultation opportunities at planning application stage, but the only proposals for how this can be achieved seem to be to base it on new technology</w:t>
      </w:r>
      <w:r w:rsidR="00786C2A">
        <w:rPr>
          <w:rFonts w:ascii="Trebuchet MS" w:hAnsi="Trebuchet MS"/>
        </w:rPr>
        <w:t xml:space="preserve"> and social media</w:t>
      </w:r>
      <w:r w:rsidRPr="00355B4C">
        <w:rPr>
          <w:rFonts w:ascii="Trebuchet MS" w:hAnsi="Trebuchet MS"/>
        </w:rPr>
        <w:t>.</w:t>
      </w:r>
    </w:p>
    <w:p w14:paraId="565299BC" w14:textId="77777777" w:rsidR="00355B4C" w:rsidRPr="00355B4C" w:rsidRDefault="00355B4C" w:rsidP="00355B4C">
      <w:pPr>
        <w:pStyle w:val="ListParagraph"/>
        <w:rPr>
          <w:rFonts w:ascii="Trebuchet MS" w:hAnsi="Trebuchet MS"/>
        </w:rPr>
      </w:pPr>
    </w:p>
    <w:p w14:paraId="39E0A40E" w14:textId="7F33D77E"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Neighbourhood plans would be retained, but how they would fit in an entirely new system is unclear.</w:t>
      </w:r>
      <w:r w:rsidR="00F82F7C">
        <w:rPr>
          <w:rFonts w:ascii="Trebuchet MS" w:hAnsi="Trebuchet MS"/>
        </w:rPr>
        <w:t xml:space="preserve">  As is their need for renewal.</w:t>
      </w:r>
    </w:p>
    <w:p w14:paraId="7A026FFE" w14:textId="77777777" w:rsidR="00355B4C" w:rsidRPr="00355B4C" w:rsidRDefault="00355B4C" w:rsidP="00355B4C">
      <w:pPr>
        <w:pStyle w:val="ListParagraph"/>
        <w:rPr>
          <w:rFonts w:ascii="Trebuchet MS" w:hAnsi="Trebuchet MS"/>
        </w:rPr>
      </w:pPr>
    </w:p>
    <w:p w14:paraId="4A8F6B58" w14:textId="603E045C"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 xml:space="preserve">There would be faster decision-making through new technological solutions (e.g. more automated validation, machine-readable documents), reduction on information requirements </w:t>
      </w:r>
      <w:r w:rsidR="00786C2A">
        <w:rPr>
          <w:rFonts w:ascii="Trebuchet MS" w:hAnsi="Trebuchet MS"/>
        </w:rPr>
        <w:t>(</w:t>
      </w:r>
      <w:proofErr w:type="spellStart"/>
      <w:r w:rsidRPr="00355B4C">
        <w:rPr>
          <w:rFonts w:ascii="Trebuchet MS" w:hAnsi="Trebuchet MS"/>
        </w:rPr>
        <w:t>e.g</w:t>
      </w:r>
      <w:proofErr w:type="spellEnd"/>
      <w:r w:rsidRPr="00355B4C">
        <w:rPr>
          <w:rFonts w:ascii="Trebuchet MS" w:hAnsi="Trebuchet MS"/>
        </w:rPr>
        <w:t xml:space="preserve"> one short planning statement</w:t>
      </w:r>
      <w:r w:rsidR="00786C2A">
        <w:rPr>
          <w:rFonts w:ascii="Trebuchet MS" w:hAnsi="Trebuchet MS"/>
        </w:rPr>
        <w:t>)</w:t>
      </w:r>
      <w:r w:rsidRPr="00355B4C">
        <w:rPr>
          <w:rFonts w:ascii="Trebuchet MS" w:hAnsi="Trebuchet MS"/>
        </w:rPr>
        <w:t xml:space="preserve">, standardisation of technical reports and data, standard national conditions, template decision notices.  There would also be delegation to officers to decide applications where the principle is established.  </w:t>
      </w:r>
    </w:p>
    <w:p w14:paraId="7B15E369" w14:textId="77777777" w:rsidR="00355B4C" w:rsidRPr="00355B4C" w:rsidRDefault="00355B4C" w:rsidP="00355B4C">
      <w:pPr>
        <w:pStyle w:val="ListParagraph"/>
        <w:rPr>
          <w:rFonts w:ascii="Trebuchet MS" w:hAnsi="Trebuchet MS"/>
        </w:rPr>
      </w:pPr>
    </w:p>
    <w:p w14:paraId="11C22830" w14:textId="77777777" w:rsidR="00355B4C" w:rsidRPr="00355B4C" w:rsidRDefault="00355B4C" w:rsidP="00355B4C">
      <w:pPr>
        <w:pStyle w:val="ListParagraph"/>
        <w:numPr>
          <w:ilvl w:val="0"/>
          <w:numId w:val="2"/>
        </w:numPr>
        <w:spacing w:after="0" w:line="240" w:lineRule="auto"/>
        <w:ind w:left="851" w:hanging="284"/>
        <w:contextualSpacing w:val="0"/>
        <w:rPr>
          <w:rFonts w:ascii="Trebuchet MS" w:hAnsi="Trebuchet MS"/>
        </w:rPr>
      </w:pPr>
      <w:r w:rsidRPr="00355B4C">
        <w:rPr>
          <w:rFonts w:ascii="Trebuchet MS" w:hAnsi="Trebuchet MS"/>
        </w:rPr>
        <w:t>The Paper proposes refunding application fees where an application goes over statutory time limits (with no scope to negotiate extensions), and potentially a deemed consent in those cases.  There would also be an automatic rebate of the application fee if an appeal is successful.</w:t>
      </w:r>
    </w:p>
    <w:p w14:paraId="608C626C" w14:textId="77777777" w:rsidR="00355B4C" w:rsidRPr="00355B4C" w:rsidRDefault="00355B4C" w:rsidP="00355B4C">
      <w:pPr>
        <w:spacing w:after="120"/>
        <w:rPr>
          <w:rFonts w:ascii="Trebuchet MS" w:hAnsi="Trebuchet MS"/>
        </w:rPr>
      </w:pPr>
    </w:p>
    <w:p w14:paraId="04A8B0CA" w14:textId="463A36F5"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2.5</w:t>
      </w:r>
      <w:r w:rsidRPr="00355B4C">
        <w:rPr>
          <w:rFonts w:ascii="Trebuchet MS" w:hAnsi="Trebuchet MS"/>
        </w:rPr>
        <w:tab/>
        <w:t xml:space="preserve">The following are some of the main elements of </w:t>
      </w:r>
      <w:r w:rsidRPr="00355B4C">
        <w:rPr>
          <w:rFonts w:ascii="Trebuchet MS" w:hAnsi="Trebuchet MS"/>
          <w:b/>
          <w:bCs/>
        </w:rPr>
        <w:t>Pillar Two – Beautiful and Sustainable Places</w:t>
      </w:r>
      <w:r w:rsidRPr="00355B4C">
        <w:rPr>
          <w:rFonts w:ascii="Trebuchet MS" w:hAnsi="Trebuchet MS"/>
        </w:rPr>
        <w:t>:</w:t>
      </w:r>
    </w:p>
    <w:p w14:paraId="5692E9E8" w14:textId="77777777" w:rsidR="00355B4C" w:rsidRPr="00355B4C" w:rsidRDefault="00355B4C" w:rsidP="00355B4C">
      <w:pPr>
        <w:spacing w:after="0" w:line="240" w:lineRule="auto"/>
        <w:ind w:left="567" w:hanging="567"/>
        <w:rPr>
          <w:rFonts w:ascii="Trebuchet MS" w:hAnsi="Trebuchet MS"/>
        </w:rPr>
      </w:pPr>
    </w:p>
    <w:p w14:paraId="5D244FC8"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A National Model Design Code will be published in autumn 2020, accompanied by a revised Manual for Streets.</w:t>
      </w:r>
    </w:p>
    <w:p w14:paraId="55159814" w14:textId="77777777" w:rsidR="00355B4C" w:rsidRPr="00355B4C" w:rsidRDefault="00355B4C" w:rsidP="00355B4C">
      <w:pPr>
        <w:pStyle w:val="ListParagraph"/>
        <w:spacing w:after="0" w:line="240" w:lineRule="auto"/>
        <w:ind w:left="851" w:hanging="284"/>
        <w:contextualSpacing w:val="0"/>
        <w:rPr>
          <w:rFonts w:ascii="Trebuchet MS" w:hAnsi="Trebuchet MS"/>
        </w:rPr>
      </w:pPr>
    </w:p>
    <w:p w14:paraId="38780ABD"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Local design guides and design codes should be produced either as part of the Local Plan or as SPD, but will only be given weight if effective input from the local community can be demonstrated.  Without local design codes, developments should comply with the national design code.</w:t>
      </w:r>
    </w:p>
    <w:p w14:paraId="7040B578" w14:textId="77777777" w:rsidR="00355B4C" w:rsidRPr="00355B4C" w:rsidRDefault="00355B4C" w:rsidP="00355B4C">
      <w:pPr>
        <w:spacing w:after="0" w:line="240" w:lineRule="auto"/>
        <w:ind w:left="851" w:hanging="284"/>
        <w:rPr>
          <w:rFonts w:ascii="Trebuchet MS" w:hAnsi="Trebuchet MS"/>
        </w:rPr>
      </w:pPr>
    </w:p>
    <w:p w14:paraId="7D7EC15D"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lastRenderedPageBreak/>
        <w:t>A new national expert body on design and place-making will be set up, which will assist local authorities with design codes, and every local authority will be expected to appoint a chief officer for design and place-making.</w:t>
      </w:r>
    </w:p>
    <w:p w14:paraId="02CD07E5" w14:textId="77777777" w:rsidR="00355B4C" w:rsidRPr="00355B4C" w:rsidRDefault="00355B4C" w:rsidP="00355B4C">
      <w:pPr>
        <w:spacing w:after="0" w:line="240" w:lineRule="auto"/>
        <w:ind w:left="851" w:hanging="284"/>
        <w:rPr>
          <w:rFonts w:ascii="Trebuchet MS" w:hAnsi="Trebuchet MS"/>
        </w:rPr>
      </w:pPr>
    </w:p>
    <w:p w14:paraId="0EB4A074"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There will be a fast-track process for developments which comply with design codes in areas for ‘growth’ and ‘renewal’ in the Local Plan.  There will also be a widening of permitted development rights to allow “popular and replicable” forms of development, according to a pattern book, in ‘Renewal’ areas.</w:t>
      </w:r>
    </w:p>
    <w:p w14:paraId="427C47D4" w14:textId="77777777" w:rsidR="00355B4C" w:rsidRPr="00355B4C" w:rsidRDefault="00355B4C" w:rsidP="00355B4C">
      <w:pPr>
        <w:spacing w:after="0" w:line="240" w:lineRule="auto"/>
        <w:ind w:left="851" w:hanging="284"/>
        <w:rPr>
          <w:rFonts w:ascii="Trebuchet MS" w:hAnsi="Trebuchet MS"/>
        </w:rPr>
      </w:pPr>
    </w:p>
    <w:p w14:paraId="34DC57A6"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There is continued commitment to various elements of the Environment Bill, including biodiversity net gain, as well as a national expectation on trees, and the continued push for the Future Homes standard and development to be net zero carbon by 2050.</w:t>
      </w:r>
    </w:p>
    <w:p w14:paraId="041B47A9" w14:textId="77777777" w:rsidR="00355B4C" w:rsidRPr="00355B4C" w:rsidRDefault="00355B4C" w:rsidP="00355B4C">
      <w:pPr>
        <w:spacing w:after="0" w:line="240" w:lineRule="auto"/>
        <w:ind w:left="851" w:hanging="284"/>
        <w:rPr>
          <w:rFonts w:ascii="Trebuchet MS" w:hAnsi="Trebuchet MS"/>
        </w:rPr>
      </w:pPr>
    </w:p>
    <w:p w14:paraId="2598D565" w14:textId="5CF61190"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 xml:space="preserve">Environmental Impact Assessment </w:t>
      </w:r>
      <w:r w:rsidR="00786C2A">
        <w:rPr>
          <w:rFonts w:ascii="Trebuchet MS" w:hAnsi="Trebuchet MS"/>
        </w:rPr>
        <w:t>processes would</w:t>
      </w:r>
      <w:r w:rsidRPr="00355B4C">
        <w:rPr>
          <w:rFonts w:ascii="Trebuchet MS" w:hAnsi="Trebuchet MS"/>
        </w:rPr>
        <w:t xml:space="preserve"> be simplified.</w:t>
      </w:r>
    </w:p>
    <w:p w14:paraId="733F439A" w14:textId="77777777" w:rsidR="00355B4C" w:rsidRPr="00355B4C" w:rsidRDefault="00355B4C" w:rsidP="00355B4C">
      <w:pPr>
        <w:spacing w:after="0" w:line="240" w:lineRule="auto"/>
        <w:ind w:left="851" w:hanging="284"/>
        <w:rPr>
          <w:rFonts w:ascii="Trebuchet MS" w:hAnsi="Trebuchet MS"/>
        </w:rPr>
      </w:pPr>
    </w:p>
    <w:p w14:paraId="5D1168D3" w14:textId="77777777" w:rsidR="00355B4C" w:rsidRPr="00355B4C" w:rsidRDefault="00355B4C" w:rsidP="00355B4C">
      <w:pPr>
        <w:pStyle w:val="ListParagraph"/>
        <w:numPr>
          <w:ilvl w:val="0"/>
          <w:numId w:val="3"/>
        </w:numPr>
        <w:spacing w:after="0" w:line="240" w:lineRule="auto"/>
        <w:ind w:left="851" w:hanging="284"/>
        <w:contextualSpacing w:val="0"/>
        <w:rPr>
          <w:rFonts w:ascii="Trebuchet MS" w:hAnsi="Trebuchet MS"/>
        </w:rPr>
      </w:pPr>
      <w:r w:rsidRPr="00355B4C">
        <w:rPr>
          <w:rFonts w:ascii="Trebuchet MS" w:hAnsi="Trebuchet MS"/>
        </w:rPr>
        <w:t>There would be an updated framework for listed buildings and conservation areas.  The government also want to look at whether some simple listed building consents can be dealt with by suitably experienced specialists in the industry.</w:t>
      </w:r>
    </w:p>
    <w:p w14:paraId="7FEF467B" w14:textId="77777777" w:rsidR="00355B4C" w:rsidRPr="00355B4C" w:rsidRDefault="00355B4C" w:rsidP="00355B4C">
      <w:pPr>
        <w:spacing w:after="120"/>
        <w:rPr>
          <w:rFonts w:ascii="Trebuchet MS" w:hAnsi="Trebuchet MS"/>
        </w:rPr>
      </w:pPr>
    </w:p>
    <w:p w14:paraId="196FE91A" w14:textId="77777777" w:rsidR="00355B4C" w:rsidRPr="00355B4C" w:rsidRDefault="00355B4C" w:rsidP="00355B4C">
      <w:pPr>
        <w:spacing w:after="0" w:line="240" w:lineRule="auto"/>
        <w:ind w:left="567" w:hanging="567"/>
        <w:rPr>
          <w:rFonts w:ascii="Trebuchet MS" w:hAnsi="Trebuchet MS"/>
          <w:b/>
          <w:bCs/>
        </w:rPr>
      </w:pPr>
      <w:r w:rsidRPr="00355B4C">
        <w:rPr>
          <w:rFonts w:ascii="Trebuchet MS" w:hAnsi="Trebuchet MS"/>
        </w:rPr>
        <w:t>2.6</w:t>
      </w:r>
      <w:r w:rsidRPr="00355B4C">
        <w:rPr>
          <w:rFonts w:ascii="Trebuchet MS" w:hAnsi="Trebuchet MS"/>
        </w:rPr>
        <w:tab/>
        <w:t xml:space="preserve">Finally, the following are the main elements of </w:t>
      </w:r>
      <w:r w:rsidRPr="00355B4C">
        <w:rPr>
          <w:rFonts w:ascii="Trebuchet MS" w:hAnsi="Trebuchet MS"/>
          <w:b/>
          <w:bCs/>
        </w:rPr>
        <w:t>Pillar Three – Planning for Infrastructure and Connected Places:</w:t>
      </w:r>
    </w:p>
    <w:p w14:paraId="754E4D34" w14:textId="77777777" w:rsidR="00355B4C" w:rsidRPr="00355B4C" w:rsidRDefault="00355B4C" w:rsidP="00355B4C">
      <w:pPr>
        <w:spacing w:after="0" w:line="240" w:lineRule="auto"/>
        <w:rPr>
          <w:rFonts w:ascii="Trebuchet MS" w:hAnsi="Trebuchet MS"/>
        </w:rPr>
      </w:pPr>
    </w:p>
    <w:p w14:paraId="57F4BE06" w14:textId="77777777"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The Community Infrastructure Levy and Section 106 agreements would be abolished, and replaced with a new Consolidated Infrastructure Levy.</w:t>
      </w:r>
    </w:p>
    <w:p w14:paraId="632AC904" w14:textId="77777777" w:rsidR="00355B4C" w:rsidRPr="00355B4C" w:rsidRDefault="00355B4C" w:rsidP="00355B4C">
      <w:pPr>
        <w:pStyle w:val="ListParagraph"/>
        <w:spacing w:after="0" w:line="240" w:lineRule="auto"/>
        <w:ind w:left="851" w:hanging="284"/>
        <w:contextualSpacing w:val="0"/>
        <w:rPr>
          <w:rFonts w:ascii="Trebuchet MS" w:hAnsi="Trebuchet MS"/>
        </w:rPr>
      </w:pPr>
    </w:p>
    <w:p w14:paraId="7B6E7A50" w14:textId="2787E8C5"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 xml:space="preserve">Rather than a charge per </w:t>
      </w:r>
      <w:proofErr w:type="spellStart"/>
      <w:r w:rsidRPr="00355B4C">
        <w:rPr>
          <w:rFonts w:ascii="Trebuchet MS" w:hAnsi="Trebuchet MS"/>
        </w:rPr>
        <w:t>sq</w:t>
      </w:r>
      <w:proofErr w:type="spellEnd"/>
      <w:r w:rsidRPr="00355B4C">
        <w:rPr>
          <w:rFonts w:ascii="Trebuchet MS" w:hAnsi="Trebuchet MS"/>
        </w:rPr>
        <w:t xml:space="preserve"> m of </w:t>
      </w:r>
      <w:proofErr w:type="spellStart"/>
      <w:r w:rsidRPr="00355B4C">
        <w:rPr>
          <w:rFonts w:ascii="Trebuchet MS" w:hAnsi="Trebuchet MS"/>
        </w:rPr>
        <w:t>floorspace</w:t>
      </w:r>
      <w:proofErr w:type="spellEnd"/>
      <w:r w:rsidRPr="00355B4C">
        <w:rPr>
          <w:rFonts w:ascii="Trebuchet MS" w:hAnsi="Trebuchet MS"/>
        </w:rPr>
        <w:t>, the new Levy would be based on a proportion of the final value of a development, over a certain threshold.  It would make the Levy more responsive to market conditions, but means the actual contribution would not be known until the development is completed</w:t>
      </w:r>
      <w:r w:rsidR="00786C2A">
        <w:rPr>
          <w:rFonts w:ascii="Trebuchet MS" w:hAnsi="Trebuchet MS"/>
        </w:rPr>
        <w:t>,</w:t>
      </w:r>
      <w:r w:rsidRPr="00355B4C">
        <w:rPr>
          <w:rFonts w:ascii="Trebuchet MS" w:hAnsi="Trebuchet MS"/>
        </w:rPr>
        <w:t xml:space="preserve"> and may well be zero if </w:t>
      </w:r>
      <w:r w:rsidR="00786C2A">
        <w:rPr>
          <w:rFonts w:ascii="Trebuchet MS" w:hAnsi="Trebuchet MS"/>
        </w:rPr>
        <w:t>the development value</w:t>
      </w:r>
      <w:r w:rsidRPr="00355B4C">
        <w:rPr>
          <w:rFonts w:ascii="Trebuchet MS" w:hAnsi="Trebuchet MS"/>
        </w:rPr>
        <w:t xml:space="preserve"> falls below the threshold.  It would also only be paid on occupation, so there would be no contributions at earlier development stages.  Local authorities could borrow against future levies so they can forward fund infrastructure.</w:t>
      </w:r>
    </w:p>
    <w:p w14:paraId="5857436D" w14:textId="77777777" w:rsidR="00355B4C" w:rsidRPr="00355B4C" w:rsidRDefault="00355B4C" w:rsidP="00355B4C">
      <w:pPr>
        <w:pStyle w:val="ListParagraph"/>
        <w:ind w:left="851" w:hanging="284"/>
        <w:rPr>
          <w:rFonts w:ascii="Trebuchet MS" w:hAnsi="Trebuchet MS"/>
        </w:rPr>
      </w:pPr>
    </w:p>
    <w:p w14:paraId="26C289E3" w14:textId="77777777"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The rate would be set nationally.  It may be a single rate across the country, or more regionally based.  It would continue to be collected and spent locally.</w:t>
      </w:r>
    </w:p>
    <w:p w14:paraId="1030826A" w14:textId="77777777" w:rsidR="00355B4C" w:rsidRPr="00355B4C" w:rsidRDefault="00355B4C" w:rsidP="00355B4C">
      <w:pPr>
        <w:spacing w:after="0" w:line="240" w:lineRule="auto"/>
        <w:ind w:left="851" w:hanging="284"/>
        <w:rPr>
          <w:rFonts w:ascii="Trebuchet MS" w:hAnsi="Trebuchet MS"/>
        </w:rPr>
      </w:pPr>
    </w:p>
    <w:p w14:paraId="3007D1C8" w14:textId="77777777"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The Levy may be extended to cover more developments that benefit from permitted development rights, for instance where there is no new floorspace.</w:t>
      </w:r>
    </w:p>
    <w:p w14:paraId="3707C51E" w14:textId="77777777" w:rsidR="00355B4C" w:rsidRPr="00355B4C" w:rsidRDefault="00355B4C" w:rsidP="00355B4C">
      <w:pPr>
        <w:spacing w:after="0" w:line="240" w:lineRule="auto"/>
        <w:ind w:left="851" w:hanging="284"/>
        <w:rPr>
          <w:rFonts w:ascii="Trebuchet MS" w:hAnsi="Trebuchet MS"/>
        </w:rPr>
      </w:pPr>
    </w:p>
    <w:p w14:paraId="4021D31C" w14:textId="77777777"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The Levy would cover affordable housing, which could be secured on-site through the levy or be an off-site payment.  The implication is that the amount of affordable housing would therefore also be set nationally.</w:t>
      </w:r>
    </w:p>
    <w:p w14:paraId="6CACB063" w14:textId="77777777" w:rsidR="00355B4C" w:rsidRPr="00355B4C" w:rsidRDefault="00355B4C" w:rsidP="00355B4C">
      <w:pPr>
        <w:spacing w:after="0" w:line="240" w:lineRule="auto"/>
        <w:ind w:left="851" w:hanging="284"/>
        <w:rPr>
          <w:rFonts w:ascii="Trebuchet MS" w:hAnsi="Trebuchet MS"/>
        </w:rPr>
      </w:pPr>
    </w:p>
    <w:p w14:paraId="37F7B04A" w14:textId="77777777" w:rsidR="00355B4C" w:rsidRPr="00355B4C" w:rsidRDefault="00355B4C" w:rsidP="00355B4C">
      <w:pPr>
        <w:pStyle w:val="ListParagraph"/>
        <w:numPr>
          <w:ilvl w:val="0"/>
          <w:numId w:val="4"/>
        </w:numPr>
        <w:spacing w:after="0" w:line="240" w:lineRule="auto"/>
        <w:ind w:left="851" w:hanging="284"/>
        <w:contextualSpacing w:val="0"/>
        <w:rPr>
          <w:rFonts w:ascii="Trebuchet MS" w:hAnsi="Trebuchet MS"/>
        </w:rPr>
      </w:pPr>
      <w:r w:rsidRPr="00355B4C">
        <w:rPr>
          <w:rFonts w:ascii="Trebuchet MS" w:hAnsi="Trebuchet MS"/>
        </w:rPr>
        <w:t>There is potentially more freedom on spend, and this could include provision of council services and reducing council tax.  The Paper also proposes that a proportion should be kept to cover planning service costs on Local Plans, enforcement, etc.</w:t>
      </w:r>
    </w:p>
    <w:p w14:paraId="3432D722" w14:textId="77777777" w:rsidR="00355B4C" w:rsidRPr="00355B4C" w:rsidRDefault="00355B4C" w:rsidP="00355B4C">
      <w:pPr>
        <w:spacing w:after="0" w:line="240" w:lineRule="auto"/>
        <w:rPr>
          <w:rFonts w:ascii="Trebuchet MS" w:hAnsi="Trebuchet MS"/>
        </w:rPr>
      </w:pPr>
    </w:p>
    <w:p w14:paraId="1D73FB6F" w14:textId="77777777"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2.7</w:t>
      </w:r>
      <w:r w:rsidRPr="00355B4C">
        <w:rPr>
          <w:rFonts w:ascii="Trebuchet MS" w:hAnsi="Trebuchet MS"/>
        </w:rPr>
        <w:tab/>
        <w:t>Finally, the government would develop a comprehensive resourcing and skills strategy.  This will include greater regulation of pre-application fees.  The proposal is to work closely with the property technology (‘</w:t>
      </w:r>
      <w:proofErr w:type="spellStart"/>
      <w:r w:rsidRPr="00355B4C">
        <w:rPr>
          <w:rFonts w:ascii="Trebuchet MS" w:hAnsi="Trebuchet MS"/>
        </w:rPr>
        <w:t>PropTech</w:t>
      </w:r>
      <w:proofErr w:type="spellEnd"/>
      <w:r w:rsidRPr="00355B4C">
        <w:rPr>
          <w:rFonts w:ascii="Trebuchet MS" w:hAnsi="Trebuchet MS"/>
        </w:rPr>
        <w:t xml:space="preserve">’) sector to roll out much </w:t>
      </w:r>
      <w:r w:rsidRPr="00355B4C">
        <w:rPr>
          <w:rFonts w:ascii="Trebuchet MS" w:hAnsi="Trebuchet MS"/>
        </w:rPr>
        <w:lastRenderedPageBreak/>
        <w:t>greater digitalisation.  There may be more enforcement powers, and local authorities are expected to be able to refocus on enforcement due to less application requirements.</w:t>
      </w:r>
    </w:p>
    <w:p w14:paraId="0324437B" w14:textId="77777777" w:rsidR="00355B4C" w:rsidRPr="00355B4C" w:rsidRDefault="00355B4C" w:rsidP="00355B4C">
      <w:pPr>
        <w:spacing w:after="0" w:line="240" w:lineRule="auto"/>
        <w:ind w:left="567" w:hanging="567"/>
        <w:rPr>
          <w:rFonts w:ascii="Trebuchet MS" w:hAnsi="Trebuchet MS"/>
        </w:rPr>
      </w:pPr>
    </w:p>
    <w:p w14:paraId="213D769D" w14:textId="77777777" w:rsidR="00355B4C" w:rsidRPr="00355B4C" w:rsidRDefault="00355B4C" w:rsidP="00355B4C">
      <w:pPr>
        <w:pStyle w:val="ListParagraph"/>
        <w:numPr>
          <w:ilvl w:val="1"/>
          <w:numId w:val="9"/>
        </w:numPr>
        <w:spacing w:after="0" w:line="240" w:lineRule="auto"/>
        <w:ind w:left="567" w:hanging="567"/>
        <w:rPr>
          <w:rFonts w:ascii="Trebuchet MS" w:hAnsi="Trebuchet MS"/>
        </w:rPr>
      </w:pPr>
      <w:r w:rsidRPr="00355B4C">
        <w:rPr>
          <w:rFonts w:ascii="Trebuchet MS" w:hAnsi="Trebuchet MS"/>
        </w:rPr>
        <w:t>Some of the key themes running through the White Paper are therefore as follows:</w:t>
      </w:r>
    </w:p>
    <w:p w14:paraId="4DFC2FF7" w14:textId="77777777" w:rsidR="00355B4C" w:rsidRPr="00355B4C" w:rsidRDefault="00355B4C" w:rsidP="00355B4C">
      <w:pPr>
        <w:pStyle w:val="ListParagraph"/>
        <w:spacing w:after="0" w:line="240" w:lineRule="auto"/>
        <w:ind w:left="567"/>
        <w:rPr>
          <w:rFonts w:ascii="Trebuchet MS" w:hAnsi="Trebuchet MS"/>
        </w:rPr>
      </w:pPr>
    </w:p>
    <w:p w14:paraId="5EC8F9C9" w14:textId="77777777" w:rsidR="00355B4C" w:rsidRPr="00355B4C" w:rsidRDefault="00355B4C" w:rsidP="00355B4C">
      <w:pPr>
        <w:pStyle w:val="ListParagraph"/>
        <w:numPr>
          <w:ilvl w:val="0"/>
          <w:numId w:val="5"/>
        </w:numPr>
        <w:spacing w:after="0" w:line="240" w:lineRule="auto"/>
        <w:ind w:left="993" w:hanging="426"/>
        <w:rPr>
          <w:rFonts w:ascii="Trebuchet MS" w:hAnsi="Trebuchet MS"/>
        </w:rPr>
      </w:pPr>
      <w:r w:rsidRPr="00355B4C">
        <w:rPr>
          <w:rFonts w:ascii="Trebuchet MS" w:hAnsi="Trebuchet MS"/>
        </w:rPr>
        <w:t>A very significant level of deregulation, trying to remove barriers to development and create much greater certainty within the planning process.</w:t>
      </w:r>
    </w:p>
    <w:p w14:paraId="5F2372CD" w14:textId="77777777" w:rsidR="00355B4C" w:rsidRPr="00355B4C" w:rsidRDefault="00355B4C" w:rsidP="00355B4C">
      <w:pPr>
        <w:pStyle w:val="ListParagraph"/>
        <w:spacing w:after="0" w:line="240" w:lineRule="auto"/>
        <w:ind w:left="993"/>
        <w:rPr>
          <w:rFonts w:ascii="Trebuchet MS" w:hAnsi="Trebuchet MS"/>
        </w:rPr>
      </w:pPr>
    </w:p>
    <w:p w14:paraId="6DF81A0E" w14:textId="4A527061" w:rsidR="00355B4C" w:rsidRPr="00355B4C" w:rsidRDefault="00355B4C" w:rsidP="00355B4C">
      <w:pPr>
        <w:pStyle w:val="ListParagraph"/>
        <w:numPr>
          <w:ilvl w:val="0"/>
          <w:numId w:val="5"/>
        </w:numPr>
        <w:spacing w:after="0" w:line="240" w:lineRule="auto"/>
        <w:ind w:left="993" w:hanging="426"/>
        <w:rPr>
          <w:rFonts w:ascii="Trebuchet MS" w:hAnsi="Trebuchet MS"/>
        </w:rPr>
      </w:pPr>
      <w:r w:rsidRPr="00355B4C">
        <w:rPr>
          <w:rFonts w:ascii="Trebuchet MS" w:hAnsi="Trebuchet MS"/>
        </w:rPr>
        <w:t xml:space="preserve">There is </w:t>
      </w:r>
      <w:r w:rsidR="00786C2A">
        <w:rPr>
          <w:rFonts w:ascii="Trebuchet MS" w:hAnsi="Trebuchet MS"/>
        </w:rPr>
        <w:t xml:space="preserve">also </w:t>
      </w:r>
      <w:r w:rsidRPr="00355B4C">
        <w:rPr>
          <w:rFonts w:ascii="Trebuchet MS" w:hAnsi="Trebuchet MS"/>
        </w:rPr>
        <w:t>a very significant centralisa</w:t>
      </w:r>
      <w:r w:rsidR="004E1E46">
        <w:rPr>
          <w:rFonts w:ascii="Trebuchet MS" w:hAnsi="Trebuchet MS"/>
        </w:rPr>
        <w:t xml:space="preserve">tion of powers on government.  </w:t>
      </w:r>
      <w:r w:rsidRPr="00355B4C">
        <w:rPr>
          <w:rFonts w:ascii="Trebuchet MS" w:hAnsi="Trebuchet MS"/>
        </w:rPr>
        <w:t xml:space="preserve">There would be nationally-set development management policies, national standard conditions, nationally set CIL (including affordable housing), binding nationally-set housing numbers through a standard methodology, a national design guide taking precedence where no design codes are in place, </w:t>
      </w:r>
      <w:r w:rsidR="00786C2A">
        <w:rPr>
          <w:rFonts w:ascii="Trebuchet MS" w:hAnsi="Trebuchet MS"/>
        </w:rPr>
        <w:t xml:space="preserve">a </w:t>
      </w:r>
      <w:r w:rsidRPr="00355B4C">
        <w:rPr>
          <w:rFonts w:ascii="Trebuchet MS" w:hAnsi="Trebuchet MS"/>
        </w:rPr>
        <w:t>national body to support local design codes</w:t>
      </w:r>
      <w:r w:rsidR="00786C2A">
        <w:rPr>
          <w:rFonts w:ascii="Trebuchet MS" w:hAnsi="Trebuchet MS"/>
        </w:rPr>
        <w:t xml:space="preserve"> etc</w:t>
      </w:r>
      <w:r w:rsidRPr="00355B4C">
        <w:rPr>
          <w:rFonts w:ascii="Trebuchet MS" w:hAnsi="Trebuchet MS"/>
        </w:rPr>
        <w:t>.</w:t>
      </w:r>
    </w:p>
    <w:p w14:paraId="620C8764" w14:textId="77777777" w:rsidR="00355B4C" w:rsidRPr="00355B4C" w:rsidRDefault="00355B4C" w:rsidP="00355B4C">
      <w:pPr>
        <w:pStyle w:val="ListParagraph"/>
        <w:spacing w:after="0" w:line="240" w:lineRule="auto"/>
        <w:ind w:left="993"/>
        <w:rPr>
          <w:rFonts w:ascii="Trebuchet MS" w:hAnsi="Trebuchet MS"/>
        </w:rPr>
      </w:pPr>
    </w:p>
    <w:p w14:paraId="15B2EE5C" w14:textId="04A481F9" w:rsidR="00355B4C" w:rsidRPr="00355B4C" w:rsidRDefault="00355B4C" w:rsidP="00355B4C">
      <w:pPr>
        <w:pStyle w:val="ListParagraph"/>
        <w:numPr>
          <w:ilvl w:val="0"/>
          <w:numId w:val="5"/>
        </w:numPr>
        <w:spacing w:after="0" w:line="240" w:lineRule="auto"/>
        <w:ind w:left="993" w:hanging="426"/>
        <w:rPr>
          <w:rFonts w:ascii="Trebuchet MS" w:hAnsi="Trebuchet MS"/>
        </w:rPr>
      </w:pPr>
      <w:r w:rsidRPr="00355B4C">
        <w:rPr>
          <w:rFonts w:ascii="Trebuchet MS" w:hAnsi="Trebuchet MS"/>
        </w:rPr>
        <w:t xml:space="preserve">Removal of opportunities for democratic oversight and local consultation, which for many developments will only take place as part of a slimmed down local plan process.  The roles of Planning Applications Committees would </w:t>
      </w:r>
      <w:r w:rsidR="00786C2A">
        <w:rPr>
          <w:rFonts w:ascii="Trebuchet MS" w:hAnsi="Trebuchet MS"/>
        </w:rPr>
        <w:t xml:space="preserve">inevitably </w:t>
      </w:r>
      <w:r w:rsidRPr="00355B4C">
        <w:rPr>
          <w:rFonts w:ascii="Trebuchet MS" w:hAnsi="Trebuchet MS"/>
        </w:rPr>
        <w:t>be substantially reduced.</w:t>
      </w:r>
    </w:p>
    <w:p w14:paraId="0C6EE989" w14:textId="77777777" w:rsidR="00355B4C" w:rsidRPr="00355B4C" w:rsidRDefault="00355B4C" w:rsidP="00355B4C">
      <w:pPr>
        <w:pStyle w:val="ListParagraph"/>
        <w:spacing w:after="0" w:line="240" w:lineRule="auto"/>
        <w:ind w:left="993"/>
        <w:rPr>
          <w:rFonts w:ascii="Trebuchet MS" w:hAnsi="Trebuchet MS"/>
        </w:rPr>
      </w:pPr>
    </w:p>
    <w:p w14:paraId="1601E365" w14:textId="78592786" w:rsidR="00355B4C" w:rsidRPr="00355B4C" w:rsidRDefault="00355B4C" w:rsidP="00355B4C">
      <w:pPr>
        <w:pStyle w:val="ListParagraph"/>
        <w:numPr>
          <w:ilvl w:val="0"/>
          <w:numId w:val="5"/>
        </w:numPr>
        <w:spacing w:after="0" w:line="240" w:lineRule="auto"/>
        <w:ind w:left="993" w:hanging="426"/>
        <w:rPr>
          <w:rFonts w:ascii="Trebuchet MS" w:hAnsi="Trebuchet MS"/>
        </w:rPr>
      </w:pPr>
      <w:r w:rsidRPr="00355B4C">
        <w:rPr>
          <w:rFonts w:ascii="Trebuchet MS" w:hAnsi="Trebuchet MS"/>
        </w:rPr>
        <w:t>The proposed procedures are in many case</w:t>
      </w:r>
      <w:r w:rsidR="00786C2A">
        <w:rPr>
          <w:rFonts w:ascii="Trebuchet MS" w:hAnsi="Trebuchet MS"/>
        </w:rPr>
        <w:t>s</w:t>
      </w:r>
      <w:r w:rsidRPr="00355B4C">
        <w:rPr>
          <w:rFonts w:ascii="Trebuchet MS" w:hAnsi="Trebuchet MS"/>
        </w:rPr>
        <w:t xml:space="preserve"> highly dependent on as-yet-untested technological solutions.  Government plans to work on this with the </w:t>
      </w:r>
      <w:r w:rsidR="00DF7D88">
        <w:rPr>
          <w:rFonts w:ascii="Trebuchet MS" w:hAnsi="Trebuchet MS"/>
        </w:rPr>
        <w:t xml:space="preserve">technology </w:t>
      </w:r>
      <w:r w:rsidRPr="00355B4C">
        <w:rPr>
          <w:rFonts w:ascii="Trebuchet MS" w:hAnsi="Trebuchet MS"/>
        </w:rPr>
        <w:t xml:space="preserve">sector to develop systems, but the record of national IT projects </w:t>
      </w:r>
      <w:r w:rsidR="004E1E46">
        <w:rPr>
          <w:rFonts w:ascii="Trebuchet MS" w:hAnsi="Trebuchet MS"/>
        </w:rPr>
        <w:t xml:space="preserve">continues to be </w:t>
      </w:r>
      <w:r w:rsidRPr="00355B4C">
        <w:rPr>
          <w:rFonts w:ascii="Trebuchet MS" w:hAnsi="Trebuchet MS"/>
        </w:rPr>
        <w:t>not good, and a substantial risk is that new legislation will be introduced before the technology is in place to support it.</w:t>
      </w:r>
    </w:p>
    <w:p w14:paraId="617D5D20" w14:textId="77777777" w:rsidR="00355B4C" w:rsidRPr="00355B4C" w:rsidRDefault="00355B4C" w:rsidP="00355B4C">
      <w:pPr>
        <w:pStyle w:val="ListParagraph"/>
        <w:spacing w:after="0" w:line="240" w:lineRule="auto"/>
        <w:ind w:left="993"/>
        <w:rPr>
          <w:rFonts w:ascii="Trebuchet MS" w:hAnsi="Trebuchet MS"/>
        </w:rPr>
      </w:pPr>
    </w:p>
    <w:p w14:paraId="216A80C0" w14:textId="77777777" w:rsidR="00355B4C" w:rsidRPr="00355B4C" w:rsidRDefault="00355B4C" w:rsidP="00355B4C">
      <w:pPr>
        <w:pStyle w:val="ListParagraph"/>
        <w:numPr>
          <w:ilvl w:val="0"/>
          <w:numId w:val="5"/>
        </w:numPr>
        <w:spacing w:after="0" w:line="240" w:lineRule="auto"/>
        <w:ind w:left="993" w:hanging="426"/>
        <w:rPr>
          <w:rFonts w:ascii="Trebuchet MS" w:hAnsi="Trebuchet MS"/>
        </w:rPr>
      </w:pPr>
      <w:r w:rsidRPr="00355B4C">
        <w:rPr>
          <w:rFonts w:ascii="Trebuchet MS" w:hAnsi="Trebuchet MS"/>
        </w:rPr>
        <w:t>There would need to be significant investment in design skills.  Much of the day-to-day work of planning sections may change from general policy and development management to drawing up strong design codes, and skills would need to improve in these areas.</w:t>
      </w:r>
    </w:p>
    <w:p w14:paraId="6E8E78F1" w14:textId="0DD9FD5A" w:rsidR="002B057E" w:rsidRPr="00355B4C" w:rsidRDefault="002B057E" w:rsidP="002B057E">
      <w:pPr>
        <w:spacing w:after="0" w:line="240" w:lineRule="auto"/>
        <w:rPr>
          <w:rFonts w:ascii="Trebuchet MS" w:hAnsi="Trebuchet MS"/>
        </w:rPr>
      </w:pPr>
    </w:p>
    <w:p w14:paraId="18707DCE" w14:textId="0BF51502"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2.8</w:t>
      </w:r>
      <w:r w:rsidRPr="00355B4C">
        <w:rPr>
          <w:rFonts w:ascii="Trebuchet MS" w:hAnsi="Trebuchet MS"/>
        </w:rPr>
        <w:tab/>
        <w:t>For every proposal, the White Paper sets out alternative options, which are usually watered</w:t>
      </w:r>
      <w:r w:rsidR="00DF7D88">
        <w:rPr>
          <w:rFonts w:ascii="Trebuchet MS" w:hAnsi="Trebuchet MS"/>
        </w:rPr>
        <w:t>-</w:t>
      </w:r>
      <w:r w:rsidRPr="00355B4C">
        <w:rPr>
          <w:rFonts w:ascii="Trebuchet MS" w:hAnsi="Trebuchet MS"/>
        </w:rPr>
        <w:t>down versions of the proposal.  No change is rarely an option.</w:t>
      </w:r>
    </w:p>
    <w:p w14:paraId="2E970474" w14:textId="77777777" w:rsidR="00355B4C" w:rsidRPr="00355B4C" w:rsidRDefault="00355B4C" w:rsidP="00355B4C">
      <w:pPr>
        <w:spacing w:after="0" w:line="240" w:lineRule="auto"/>
        <w:ind w:left="567" w:hanging="567"/>
        <w:rPr>
          <w:rFonts w:ascii="Trebuchet MS" w:hAnsi="Trebuchet MS"/>
        </w:rPr>
      </w:pPr>
    </w:p>
    <w:p w14:paraId="7ED910A0" w14:textId="7292ADF4" w:rsidR="00355B4C" w:rsidRPr="00355B4C" w:rsidRDefault="00355B4C" w:rsidP="00355B4C">
      <w:pPr>
        <w:spacing w:after="0" w:line="240" w:lineRule="auto"/>
        <w:ind w:left="567" w:hanging="567"/>
        <w:rPr>
          <w:rFonts w:ascii="Trebuchet MS" w:hAnsi="Trebuchet MS"/>
        </w:rPr>
      </w:pPr>
      <w:r w:rsidRPr="00355B4C">
        <w:rPr>
          <w:rFonts w:ascii="Trebuchet MS" w:hAnsi="Trebuchet MS"/>
        </w:rPr>
        <w:t>2.9</w:t>
      </w:r>
      <w:r w:rsidRPr="00355B4C">
        <w:rPr>
          <w:rFonts w:ascii="Trebuchet MS" w:hAnsi="Trebuchet MS"/>
        </w:rPr>
        <w:tab/>
        <w:t>The timetable for introducing changes is not set out in detail, but the government have stated that they would like to see the new generation of local plans in place by the end of this parliament, which would require legislation to be in place by the beginning of 2022 at the latest.</w:t>
      </w:r>
    </w:p>
    <w:p w14:paraId="3E57A4E3" w14:textId="4DD2DE1D" w:rsidR="00355B4C" w:rsidRPr="00355B4C" w:rsidRDefault="00355B4C" w:rsidP="002B057E">
      <w:pPr>
        <w:spacing w:after="0" w:line="240" w:lineRule="auto"/>
        <w:rPr>
          <w:rFonts w:ascii="Trebuchet MS" w:hAnsi="Trebuchet MS"/>
        </w:rPr>
      </w:pPr>
    </w:p>
    <w:p w14:paraId="2D9FD0A8" w14:textId="5433A519" w:rsidR="00355B4C" w:rsidRDefault="00355B4C" w:rsidP="00355B4C">
      <w:pPr>
        <w:spacing w:after="0" w:line="240" w:lineRule="auto"/>
        <w:ind w:left="567" w:hanging="567"/>
        <w:rPr>
          <w:rFonts w:ascii="Trebuchet MS" w:hAnsi="Trebuchet MS"/>
          <w:b/>
          <w:bCs/>
        </w:rPr>
      </w:pPr>
      <w:r w:rsidRPr="00355B4C">
        <w:rPr>
          <w:rFonts w:ascii="Trebuchet MS" w:hAnsi="Trebuchet MS"/>
          <w:b/>
          <w:bCs/>
        </w:rPr>
        <w:t>3.</w:t>
      </w:r>
      <w:r w:rsidRPr="00355B4C">
        <w:rPr>
          <w:rFonts w:ascii="Trebuchet MS" w:hAnsi="Trebuchet MS"/>
          <w:b/>
          <w:bCs/>
        </w:rPr>
        <w:tab/>
        <w:t>Other Changes to the Planning System</w:t>
      </w:r>
    </w:p>
    <w:p w14:paraId="5C5192D6" w14:textId="77777777" w:rsidR="00DF7D88" w:rsidRPr="00355B4C" w:rsidRDefault="00DF7D88" w:rsidP="00355B4C">
      <w:pPr>
        <w:spacing w:after="0" w:line="240" w:lineRule="auto"/>
        <w:ind w:left="567" w:hanging="567"/>
        <w:rPr>
          <w:rFonts w:ascii="Trebuchet MS" w:hAnsi="Trebuchet MS"/>
          <w:b/>
          <w:bCs/>
        </w:rPr>
      </w:pPr>
    </w:p>
    <w:p w14:paraId="10428D68" w14:textId="445C74AB" w:rsidR="008E287C" w:rsidRPr="00355B4C" w:rsidRDefault="008E287C" w:rsidP="008E287C">
      <w:pPr>
        <w:spacing w:after="0" w:line="240" w:lineRule="auto"/>
        <w:ind w:left="567" w:hanging="567"/>
        <w:rPr>
          <w:rFonts w:ascii="Trebuchet MS" w:hAnsi="Trebuchet MS"/>
        </w:rPr>
      </w:pPr>
      <w:r w:rsidRPr="00355B4C">
        <w:rPr>
          <w:rFonts w:ascii="Trebuchet MS" w:hAnsi="Trebuchet MS"/>
        </w:rPr>
        <w:t>3.1</w:t>
      </w:r>
      <w:r w:rsidRPr="00355B4C">
        <w:rPr>
          <w:rFonts w:ascii="Trebuchet MS" w:hAnsi="Trebuchet MS"/>
        </w:rPr>
        <w:tab/>
        <w:t>Alongside the White Paper, another consultation document</w:t>
      </w:r>
      <w:r w:rsidR="00B4178F" w:rsidRPr="00355B4C">
        <w:rPr>
          <w:rStyle w:val="FootnoteReference"/>
          <w:rFonts w:ascii="Trebuchet MS" w:hAnsi="Trebuchet MS"/>
        </w:rPr>
        <w:footnoteReference w:id="2"/>
      </w:r>
      <w:r w:rsidRPr="00355B4C">
        <w:rPr>
          <w:rFonts w:ascii="Trebuchet MS" w:hAnsi="Trebuchet MS"/>
        </w:rPr>
        <w:t xml:space="preserve"> has been published that proposes a number of changes to the existing planning system.  These would not require primary legislation, and would be brought in in advance of the White Paper through national policy, most likely a Written Ministerial Statement.  The expectation is that this would happen this year.  It is not clear whether these </w:t>
      </w:r>
      <w:r w:rsidR="00DF7D88">
        <w:rPr>
          <w:rFonts w:ascii="Trebuchet MS" w:hAnsi="Trebuchet MS"/>
        </w:rPr>
        <w:t>are transitional changes until the new system</w:t>
      </w:r>
      <w:r w:rsidRPr="00355B4C">
        <w:rPr>
          <w:rFonts w:ascii="Trebuchet MS" w:hAnsi="Trebuchet MS"/>
        </w:rPr>
        <w:t xml:space="preserve"> is introduced or whether they would be retained as part of a new system.</w:t>
      </w:r>
    </w:p>
    <w:p w14:paraId="06D35D96" w14:textId="75B9F624" w:rsidR="008E287C" w:rsidRPr="00355B4C" w:rsidRDefault="008E287C" w:rsidP="002B057E">
      <w:pPr>
        <w:spacing w:after="0" w:line="240" w:lineRule="auto"/>
        <w:rPr>
          <w:rFonts w:ascii="Trebuchet MS" w:hAnsi="Trebuchet MS"/>
        </w:rPr>
      </w:pPr>
    </w:p>
    <w:p w14:paraId="7A24BB2F" w14:textId="2D0C5349" w:rsidR="008E287C" w:rsidRPr="00355B4C" w:rsidRDefault="008E287C" w:rsidP="008E287C">
      <w:pPr>
        <w:spacing w:after="0" w:line="240" w:lineRule="auto"/>
        <w:ind w:left="567" w:hanging="567"/>
        <w:rPr>
          <w:rFonts w:ascii="Trebuchet MS" w:hAnsi="Trebuchet MS"/>
        </w:rPr>
      </w:pPr>
      <w:r w:rsidRPr="00355B4C">
        <w:rPr>
          <w:rFonts w:ascii="Trebuchet MS" w:hAnsi="Trebuchet MS"/>
        </w:rPr>
        <w:lastRenderedPageBreak/>
        <w:t>3.2</w:t>
      </w:r>
      <w:r w:rsidRPr="00355B4C">
        <w:rPr>
          <w:rFonts w:ascii="Trebuchet MS" w:hAnsi="Trebuchet MS"/>
        </w:rPr>
        <w:tab/>
        <w:t>The four changes are as follows:</w:t>
      </w:r>
    </w:p>
    <w:p w14:paraId="4CE3E4EC" w14:textId="6D8AA536" w:rsidR="008E287C" w:rsidRPr="00355B4C" w:rsidRDefault="008E287C" w:rsidP="008E287C">
      <w:pPr>
        <w:pStyle w:val="ListParagraph"/>
        <w:numPr>
          <w:ilvl w:val="0"/>
          <w:numId w:val="11"/>
        </w:numPr>
        <w:spacing w:after="0" w:line="240" w:lineRule="auto"/>
        <w:ind w:left="851" w:hanging="284"/>
        <w:rPr>
          <w:rFonts w:ascii="Trebuchet MS" w:hAnsi="Trebuchet MS"/>
        </w:rPr>
      </w:pPr>
      <w:r w:rsidRPr="00355B4C">
        <w:rPr>
          <w:rFonts w:ascii="Trebuchet MS" w:hAnsi="Trebuchet MS"/>
        </w:rPr>
        <w:t>A revised standard methodology for calculating housing need;</w:t>
      </w:r>
    </w:p>
    <w:p w14:paraId="7AF0F8DB" w14:textId="708DA684" w:rsidR="008E287C" w:rsidRPr="00355B4C" w:rsidRDefault="008E287C" w:rsidP="008E287C">
      <w:pPr>
        <w:pStyle w:val="ListParagraph"/>
        <w:numPr>
          <w:ilvl w:val="0"/>
          <w:numId w:val="11"/>
        </w:numPr>
        <w:spacing w:after="0" w:line="240" w:lineRule="auto"/>
        <w:ind w:left="851" w:hanging="284"/>
        <w:rPr>
          <w:rFonts w:ascii="Trebuchet MS" w:hAnsi="Trebuchet MS"/>
        </w:rPr>
      </w:pPr>
      <w:r w:rsidRPr="00355B4C">
        <w:rPr>
          <w:rFonts w:ascii="Trebuchet MS" w:hAnsi="Trebuchet MS"/>
        </w:rPr>
        <w:t>The introduction of ‘First Homes’;</w:t>
      </w:r>
    </w:p>
    <w:p w14:paraId="1781FB2D" w14:textId="113A6EEF" w:rsidR="008E287C" w:rsidRPr="00355B4C" w:rsidRDefault="008E287C" w:rsidP="008E287C">
      <w:pPr>
        <w:pStyle w:val="ListParagraph"/>
        <w:numPr>
          <w:ilvl w:val="0"/>
          <w:numId w:val="11"/>
        </w:numPr>
        <w:spacing w:after="0" w:line="240" w:lineRule="auto"/>
        <w:ind w:left="851" w:hanging="284"/>
        <w:rPr>
          <w:rFonts w:ascii="Trebuchet MS" w:hAnsi="Trebuchet MS"/>
        </w:rPr>
      </w:pPr>
      <w:r w:rsidRPr="00355B4C">
        <w:rPr>
          <w:rFonts w:ascii="Trebuchet MS" w:hAnsi="Trebuchet MS"/>
        </w:rPr>
        <w:t>An increased threshold for requiring affordable housing; and</w:t>
      </w:r>
    </w:p>
    <w:p w14:paraId="09BE7E0D" w14:textId="7FBE972E" w:rsidR="008E287C" w:rsidRPr="00355B4C" w:rsidRDefault="008E287C" w:rsidP="008E287C">
      <w:pPr>
        <w:pStyle w:val="ListParagraph"/>
        <w:numPr>
          <w:ilvl w:val="0"/>
          <w:numId w:val="11"/>
        </w:numPr>
        <w:spacing w:after="0" w:line="240" w:lineRule="auto"/>
        <w:ind w:left="851" w:hanging="284"/>
        <w:rPr>
          <w:rFonts w:ascii="Trebuchet MS" w:hAnsi="Trebuchet MS"/>
        </w:rPr>
      </w:pPr>
      <w:r w:rsidRPr="00355B4C">
        <w:rPr>
          <w:rFonts w:ascii="Trebuchet MS" w:hAnsi="Trebuchet MS"/>
        </w:rPr>
        <w:t>Extension of the ‘permission in principle’ process.</w:t>
      </w:r>
    </w:p>
    <w:p w14:paraId="4DBAA9BC" w14:textId="123E652E" w:rsidR="008E287C" w:rsidRPr="00355B4C" w:rsidRDefault="008E287C" w:rsidP="008E287C">
      <w:pPr>
        <w:spacing w:after="0" w:line="240" w:lineRule="auto"/>
        <w:rPr>
          <w:rFonts w:ascii="Trebuchet MS" w:hAnsi="Trebuchet MS"/>
          <w:b/>
          <w:bCs/>
        </w:rPr>
      </w:pPr>
    </w:p>
    <w:p w14:paraId="7EBC40B7" w14:textId="0135CBFF" w:rsidR="008E287C" w:rsidRPr="00355B4C" w:rsidRDefault="008E287C" w:rsidP="00B4178F">
      <w:pPr>
        <w:spacing w:after="0" w:line="240" w:lineRule="auto"/>
        <w:ind w:left="360" w:firstLine="207"/>
        <w:rPr>
          <w:rFonts w:ascii="Trebuchet MS" w:hAnsi="Trebuchet MS"/>
          <w:b/>
          <w:bCs/>
          <w:i/>
          <w:iCs/>
        </w:rPr>
      </w:pPr>
      <w:r w:rsidRPr="00355B4C">
        <w:rPr>
          <w:rFonts w:ascii="Trebuchet MS" w:hAnsi="Trebuchet MS"/>
          <w:b/>
          <w:bCs/>
          <w:i/>
          <w:iCs/>
        </w:rPr>
        <w:t>Standard methodology for housing need</w:t>
      </w:r>
    </w:p>
    <w:p w14:paraId="07DF957C" w14:textId="0F4E2A9B" w:rsidR="008E287C" w:rsidRPr="00355B4C" w:rsidRDefault="008E287C" w:rsidP="00B64BD6">
      <w:pPr>
        <w:spacing w:after="0" w:line="240" w:lineRule="auto"/>
        <w:ind w:left="567" w:hanging="567"/>
        <w:rPr>
          <w:rFonts w:ascii="Trebuchet MS" w:hAnsi="Trebuchet MS"/>
        </w:rPr>
      </w:pPr>
      <w:r w:rsidRPr="00355B4C">
        <w:rPr>
          <w:rFonts w:ascii="Trebuchet MS" w:hAnsi="Trebuchet MS"/>
        </w:rPr>
        <w:t>3.3</w:t>
      </w:r>
      <w:r w:rsidRPr="00355B4C">
        <w:rPr>
          <w:rFonts w:ascii="Trebuchet MS" w:hAnsi="Trebuchet MS"/>
        </w:rPr>
        <w:tab/>
        <w:t xml:space="preserve">There is currently a national standard methodology for assessing housing need which local plan-making needs to take account of.  It is based on national household projections, with a multiplier based on the local affordability ratio, with a cap set at a 40% increase over existing housing figures. </w:t>
      </w:r>
    </w:p>
    <w:p w14:paraId="656FEA41" w14:textId="117AB029" w:rsidR="008E287C" w:rsidRPr="00355B4C" w:rsidRDefault="008E287C" w:rsidP="008E287C">
      <w:pPr>
        <w:spacing w:after="0" w:line="240" w:lineRule="auto"/>
        <w:rPr>
          <w:rFonts w:ascii="Trebuchet MS" w:hAnsi="Trebuchet MS"/>
        </w:rPr>
      </w:pPr>
    </w:p>
    <w:p w14:paraId="2AC4C1A1" w14:textId="752E5B6C" w:rsidR="008E287C" w:rsidRPr="00355B4C" w:rsidRDefault="008E287C" w:rsidP="00B64BD6">
      <w:pPr>
        <w:spacing w:after="0" w:line="240" w:lineRule="auto"/>
        <w:ind w:left="567" w:hanging="567"/>
        <w:rPr>
          <w:rFonts w:ascii="Trebuchet MS" w:hAnsi="Trebuchet MS"/>
        </w:rPr>
      </w:pPr>
      <w:r w:rsidRPr="00355B4C">
        <w:rPr>
          <w:rFonts w:ascii="Trebuchet MS" w:hAnsi="Trebuchet MS"/>
        </w:rPr>
        <w:t>3.4</w:t>
      </w:r>
      <w:r w:rsidRPr="00355B4C">
        <w:rPr>
          <w:rFonts w:ascii="Trebuchet MS" w:hAnsi="Trebuchet MS"/>
        </w:rPr>
        <w:tab/>
        <w:t>The main changes can be summarised as follows:</w:t>
      </w:r>
    </w:p>
    <w:p w14:paraId="0E762BA2" w14:textId="1707D890" w:rsidR="008E287C" w:rsidRPr="00355B4C" w:rsidRDefault="00B64BD6" w:rsidP="00B64BD6">
      <w:pPr>
        <w:pStyle w:val="ListParagraph"/>
        <w:numPr>
          <w:ilvl w:val="0"/>
          <w:numId w:val="12"/>
        </w:numPr>
        <w:spacing w:after="0" w:line="240" w:lineRule="auto"/>
        <w:ind w:left="851" w:hanging="284"/>
        <w:rPr>
          <w:rFonts w:ascii="Trebuchet MS" w:hAnsi="Trebuchet MS"/>
        </w:rPr>
      </w:pPr>
      <w:r w:rsidRPr="00355B4C">
        <w:rPr>
          <w:rFonts w:ascii="Trebuchet MS" w:hAnsi="Trebuchet MS"/>
        </w:rPr>
        <w:t xml:space="preserve">Introducing an alternative baseline to household projections, which is a 0.5% annual growth </w:t>
      </w:r>
      <w:r w:rsidR="00DF7D88">
        <w:rPr>
          <w:rFonts w:ascii="Trebuchet MS" w:hAnsi="Trebuchet MS"/>
        </w:rPr>
        <w:t>on existing</w:t>
      </w:r>
      <w:r w:rsidRPr="00355B4C">
        <w:rPr>
          <w:rFonts w:ascii="Trebuchet MS" w:hAnsi="Trebuchet MS"/>
        </w:rPr>
        <w:t xml:space="preserve"> dwellings</w:t>
      </w:r>
      <w:r w:rsidR="00DF7D88">
        <w:rPr>
          <w:rFonts w:ascii="Trebuchet MS" w:hAnsi="Trebuchet MS"/>
        </w:rPr>
        <w:t xml:space="preserve"> in the area</w:t>
      </w:r>
      <w:r w:rsidRPr="00355B4C">
        <w:rPr>
          <w:rFonts w:ascii="Trebuchet MS" w:hAnsi="Trebuchet MS"/>
        </w:rPr>
        <w:t>, intended to reinforce existing settlement patterns.  Whichever is the higher of these two baselines would be used.</w:t>
      </w:r>
    </w:p>
    <w:p w14:paraId="799C0270" w14:textId="77777777" w:rsidR="00B64BD6" w:rsidRPr="00355B4C" w:rsidRDefault="00B64BD6" w:rsidP="00B64BD6">
      <w:pPr>
        <w:pStyle w:val="ListParagraph"/>
        <w:numPr>
          <w:ilvl w:val="0"/>
          <w:numId w:val="12"/>
        </w:numPr>
        <w:spacing w:after="0" w:line="240" w:lineRule="auto"/>
        <w:ind w:left="851" w:hanging="284"/>
        <w:rPr>
          <w:rFonts w:ascii="Trebuchet MS" w:hAnsi="Trebuchet MS"/>
        </w:rPr>
      </w:pPr>
      <w:r w:rsidRPr="00355B4C">
        <w:rPr>
          <w:rFonts w:ascii="Trebuchet MS" w:hAnsi="Trebuchet MS"/>
        </w:rPr>
        <w:t>As well as the local affordability ratio, the changes in affordability over the last ten years are also factored in, creating a much greater weighting on affordability.</w:t>
      </w:r>
    </w:p>
    <w:p w14:paraId="1C779237" w14:textId="6662DBED" w:rsidR="00B64BD6" w:rsidRPr="00355B4C" w:rsidRDefault="00B64BD6" w:rsidP="00B64BD6">
      <w:pPr>
        <w:pStyle w:val="ListParagraph"/>
        <w:numPr>
          <w:ilvl w:val="0"/>
          <w:numId w:val="12"/>
        </w:numPr>
        <w:spacing w:after="0" w:line="240" w:lineRule="auto"/>
        <w:ind w:left="851" w:hanging="284"/>
        <w:rPr>
          <w:rFonts w:ascii="Trebuchet MS" w:hAnsi="Trebuchet MS"/>
        </w:rPr>
      </w:pPr>
      <w:r w:rsidRPr="00355B4C">
        <w:rPr>
          <w:rFonts w:ascii="Trebuchet MS" w:hAnsi="Trebuchet MS"/>
        </w:rPr>
        <w:t>The cap based on a proportion of existing policy targets would be removed.</w:t>
      </w:r>
    </w:p>
    <w:p w14:paraId="61C0FC64" w14:textId="569CD372" w:rsidR="00B64BD6" w:rsidRPr="00355B4C" w:rsidRDefault="00B64BD6" w:rsidP="00B64BD6">
      <w:pPr>
        <w:spacing w:after="0" w:line="240" w:lineRule="auto"/>
        <w:rPr>
          <w:rFonts w:ascii="Trebuchet MS" w:hAnsi="Trebuchet MS"/>
        </w:rPr>
      </w:pPr>
    </w:p>
    <w:p w14:paraId="755C5A1B" w14:textId="18C11955" w:rsidR="00B64BD6" w:rsidRDefault="00B64BD6" w:rsidP="00B64BD6">
      <w:pPr>
        <w:spacing w:after="0" w:line="240" w:lineRule="auto"/>
        <w:ind w:left="567" w:hanging="567"/>
        <w:rPr>
          <w:rFonts w:ascii="Trebuchet MS" w:hAnsi="Trebuchet MS"/>
        </w:rPr>
      </w:pPr>
      <w:r w:rsidRPr="00355B4C">
        <w:rPr>
          <w:rFonts w:ascii="Trebuchet MS" w:hAnsi="Trebuchet MS"/>
        </w:rPr>
        <w:t>3.5</w:t>
      </w:r>
      <w:r w:rsidRPr="00355B4C">
        <w:rPr>
          <w:rFonts w:ascii="Trebuchet MS" w:hAnsi="Trebuchet MS"/>
        </w:rPr>
        <w:tab/>
        <w:t>Based on this approach</w:t>
      </w:r>
      <w:r w:rsidR="00DF7D88">
        <w:rPr>
          <w:rFonts w:ascii="Trebuchet MS" w:hAnsi="Trebuchet MS"/>
        </w:rPr>
        <w:t>,</w:t>
      </w:r>
      <w:r w:rsidRPr="00355B4C">
        <w:rPr>
          <w:rFonts w:ascii="Trebuchet MS" w:hAnsi="Trebuchet MS"/>
        </w:rPr>
        <w:t xml:space="preserve"> using most recen</w:t>
      </w:r>
      <w:r w:rsidR="004E1E46">
        <w:rPr>
          <w:rFonts w:ascii="Trebuchet MS" w:hAnsi="Trebuchet MS"/>
        </w:rPr>
        <w:t>t available information, West Berkshire’s need would be 693</w:t>
      </w:r>
      <w:r w:rsidRPr="00355B4C">
        <w:rPr>
          <w:rFonts w:ascii="Trebuchet MS" w:hAnsi="Trebuchet MS"/>
        </w:rPr>
        <w:t xml:space="preserve"> </w:t>
      </w:r>
      <w:r w:rsidR="00DF7D88">
        <w:rPr>
          <w:rFonts w:ascii="Trebuchet MS" w:hAnsi="Trebuchet MS"/>
        </w:rPr>
        <w:t xml:space="preserve">homes </w:t>
      </w:r>
      <w:r w:rsidR="004E1E46">
        <w:rPr>
          <w:rFonts w:ascii="Trebuchet MS" w:hAnsi="Trebuchet MS"/>
        </w:rPr>
        <w:t xml:space="preserve">per annum.  </w:t>
      </w:r>
    </w:p>
    <w:p w14:paraId="42F5A1FA" w14:textId="77777777" w:rsidR="004E1E46" w:rsidRPr="00355B4C" w:rsidRDefault="004E1E46" w:rsidP="00B64BD6">
      <w:pPr>
        <w:spacing w:after="0" w:line="240" w:lineRule="auto"/>
        <w:ind w:left="567" w:hanging="567"/>
        <w:rPr>
          <w:rFonts w:ascii="Trebuchet MS" w:hAnsi="Trebuchet MS"/>
        </w:rPr>
      </w:pPr>
    </w:p>
    <w:p w14:paraId="0E8273C8" w14:textId="0F79916C" w:rsidR="00B4178F" w:rsidRPr="00355B4C" w:rsidRDefault="00B4178F" w:rsidP="00B64BD6">
      <w:pPr>
        <w:spacing w:after="0" w:line="240" w:lineRule="auto"/>
        <w:ind w:left="567" w:hanging="567"/>
        <w:rPr>
          <w:rFonts w:ascii="Trebuchet MS" w:hAnsi="Trebuchet MS"/>
          <w:b/>
          <w:bCs/>
          <w:i/>
          <w:iCs/>
        </w:rPr>
      </w:pPr>
      <w:r w:rsidRPr="00355B4C">
        <w:rPr>
          <w:rFonts w:ascii="Trebuchet MS" w:hAnsi="Trebuchet MS"/>
        </w:rPr>
        <w:tab/>
      </w:r>
      <w:r w:rsidRPr="00355B4C">
        <w:rPr>
          <w:rFonts w:ascii="Trebuchet MS" w:hAnsi="Trebuchet MS"/>
          <w:b/>
          <w:bCs/>
          <w:i/>
          <w:iCs/>
        </w:rPr>
        <w:t>First Homes</w:t>
      </w:r>
    </w:p>
    <w:p w14:paraId="02A6A6C3" w14:textId="6453D453" w:rsidR="00975E7A" w:rsidRPr="00355B4C" w:rsidRDefault="00B64BD6" w:rsidP="00B64BD6">
      <w:pPr>
        <w:spacing w:after="0" w:line="240" w:lineRule="auto"/>
        <w:ind w:left="567" w:hanging="567"/>
        <w:rPr>
          <w:rFonts w:ascii="Trebuchet MS" w:hAnsi="Trebuchet MS"/>
        </w:rPr>
      </w:pPr>
      <w:r w:rsidRPr="00355B4C">
        <w:rPr>
          <w:rFonts w:ascii="Trebuchet MS" w:hAnsi="Trebuchet MS"/>
        </w:rPr>
        <w:t>3.6</w:t>
      </w:r>
      <w:r w:rsidRPr="00355B4C">
        <w:rPr>
          <w:rFonts w:ascii="Trebuchet MS" w:hAnsi="Trebuchet MS"/>
        </w:rPr>
        <w:tab/>
      </w:r>
      <w:r w:rsidR="00B4178F" w:rsidRPr="00355B4C">
        <w:rPr>
          <w:rFonts w:ascii="Trebuchet MS" w:hAnsi="Trebuchet MS"/>
        </w:rPr>
        <w:t xml:space="preserve">First Homes is a new affordable housing product, largely to replace Starter Homes, </w:t>
      </w:r>
      <w:r w:rsidR="00DF7D88">
        <w:rPr>
          <w:rFonts w:ascii="Trebuchet MS" w:hAnsi="Trebuchet MS"/>
        </w:rPr>
        <w:t>and is defined as</w:t>
      </w:r>
      <w:r w:rsidR="00B4178F" w:rsidRPr="00355B4C">
        <w:rPr>
          <w:rFonts w:ascii="Trebuchet MS" w:hAnsi="Trebuchet MS"/>
        </w:rPr>
        <w:t xml:space="preserve"> homes to be sold at a minimum 30% discount to local first-time buyers in need of housing.  </w:t>
      </w:r>
      <w:r w:rsidR="00DF7D88">
        <w:rPr>
          <w:rFonts w:ascii="Trebuchet MS" w:hAnsi="Trebuchet MS"/>
        </w:rPr>
        <w:t xml:space="preserve">The discount would apply in perpetuity.  </w:t>
      </w:r>
      <w:r w:rsidR="00B4178F" w:rsidRPr="00355B4C">
        <w:rPr>
          <w:rFonts w:ascii="Trebuchet MS" w:hAnsi="Trebuchet MS"/>
        </w:rPr>
        <w:t xml:space="preserve">The proposal is that at least 25% of on-site affordable housing contributions will be First Homes, mandated by national policy.  National policy currently requires that 10% of all housing on sites of over 10 dwellings would be for affordable home ownership products, and is largely delivered as shared ownership.  The favoured approach is that First Homes will be in place of other affordable ownership products, i.e. mainly shared ownership.  This will leave us free to continue </w:t>
      </w:r>
      <w:r w:rsidR="00975E7A" w:rsidRPr="00355B4C">
        <w:rPr>
          <w:rFonts w:ascii="Trebuchet MS" w:hAnsi="Trebuchet MS"/>
        </w:rPr>
        <w:t>defining the tenure for the remainder</w:t>
      </w:r>
      <w:r w:rsidR="00B4178F" w:rsidRPr="00355B4C">
        <w:rPr>
          <w:rFonts w:ascii="Trebuchet MS" w:hAnsi="Trebuchet MS"/>
        </w:rPr>
        <w:t xml:space="preserve">.  </w:t>
      </w:r>
    </w:p>
    <w:p w14:paraId="27C53DFE" w14:textId="77777777" w:rsidR="00975E7A" w:rsidRPr="00355B4C" w:rsidRDefault="00975E7A" w:rsidP="00B64BD6">
      <w:pPr>
        <w:spacing w:after="0" w:line="240" w:lineRule="auto"/>
        <w:ind w:left="567" w:hanging="567"/>
        <w:rPr>
          <w:rFonts w:ascii="Trebuchet MS" w:hAnsi="Trebuchet MS"/>
        </w:rPr>
      </w:pPr>
    </w:p>
    <w:p w14:paraId="7190EFB2" w14:textId="5B58328E" w:rsidR="00B64BD6" w:rsidRDefault="00975E7A" w:rsidP="00B64BD6">
      <w:pPr>
        <w:spacing w:after="0" w:line="240" w:lineRule="auto"/>
        <w:ind w:left="567" w:hanging="567"/>
        <w:rPr>
          <w:rFonts w:ascii="Trebuchet MS" w:hAnsi="Trebuchet MS"/>
        </w:rPr>
      </w:pPr>
      <w:r w:rsidRPr="00355B4C">
        <w:rPr>
          <w:rFonts w:ascii="Trebuchet MS" w:hAnsi="Trebuchet MS"/>
        </w:rPr>
        <w:t>3.7</w:t>
      </w:r>
      <w:r w:rsidRPr="00355B4C">
        <w:rPr>
          <w:rFonts w:ascii="Trebuchet MS" w:hAnsi="Trebuchet MS"/>
        </w:rPr>
        <w:tab/>
        <w:t>Local authorities</w:t>
      </w:r>
      <w:r w:rsidR="00B4178F" w:rsidRPr="00355B4C">
        <w:rPr>
          <w:rFonts w:ascii="Trebuchet MS" w:hAnsi="Trebuchet MS"/>
        </w:rPr>
        <w:t xml:space="preserve"> can also set a higher level of discount, e.g. 40 or 50%</w:t>
      </w:r>
      <w:r w:rsidRPr="00355B4C">
        <w:rPr>
          <w:rFonts w:ascii="Trebuchet MS" w:hAnsi="Trebuchet MS"/>
        </w:rPr>
        <w:t>,</w:t>
      </w:r>
      <w:r w:rsidR="00B4178F" w:rsidRPr="00355B4C">
        <w:rPr>
          <w:rFonts w:ascii="Trebuchet MS" w:hAnsi="Trebuchet MS"/>
        </w:rPr>
        <w:t xml:space="preserve"> if local circumstances justify it</w:t>
      </w:r>
      <w:r w:rsidRPr="00355B4C">
        <w:rPr>
          <w:rFonts w:ascii="Trebuchet MS" w:hAnsi="Trebuchet MS"/>
        </w:rPr>
        <w:t>.  However, the document</w:t>
      </w:r>
      <w:r w:rsidR="00B4178F" w:rsidRPr="00355B4C">
        <w:rPr>
          <w:rFonts w:ascii="Trebuchet MS" w:hAnsi="Trebuchet MS"/>
        </w:rPr>
        <w:t xml:space="preserve"> does state that this would need to be evidenced </w:t>
      </w:r>
      <w:r w:rsidRPr="00355B4C">
        <w:rPr>
          <w:rFonts w:ascii="Trebuchet MS" w:hAnsi="Trebuchet MS"/>
        </w:rPr>
        <w:t>through</w:t>
      </w:r>
      <w:r w:rsidR="00B4178F" w:rsidRPr="00355B4C">
        <w:rPr>
          <w:rFonts w:ascii="Trebuchet MS" w:hAnsi="Trebuchet MS"/>
        </w:rPr>
        <w:t xml:space="preserve"> the </w:t>
      </w:r>
      <w:r w:rsidRPr="00355B4C">
        <w:rPr>
          <w:rFonts w:ascii="Trebuchet MS" w:hAnsi="Trebuchet MS"/>
        </w:rPr>
        <w:t>l</w:t>
      </w:r>
      <w:r w:rsidR="00B4178F" w:rsidRPr="00355B4C">
        <w:rPr>
          <w:rFonts w:ascii="Trebuchet MS" w:hAnsi="Trebuchet MS"/>
        </w:rPr>
        <w:t xml:space="preserve">ocal </w:t>
      </w:r>
      <w:r w:rsidRPr="00355B4C">
        <w:rPr>
          <w:rFonts w:ascii="Trebuchet MS" w:hAnsi="Trebuchet MS"/>
        </w:rPr>
        <w:t>p</w:t>
      </w:r>
      <w:r w:rsidR="00B4178F" w:rsidRPr="00355B4C">
        <w:rPr>
          <w:rFonts w:ascii="Trebuchet MS" w:hAnsi="Trebuchet MS"/>
        </w:rPr>
        <w:t>lan</w:t>
      </w:r>
      <w:r w:rsidRPr="00355B4C">
        <w:rPr>
          <w:rFonts w:ascii="Trebuchet MS" w:hAnsi="Trebuchet MS"/>
        </w:rPr>
        <w:t>-</w:t>
      </w:r>
      <w:r w:rsidR="00B4178F" w:rsidRPr="00355B4C">
        <w:rPr>
          <w:rFonts w:ascii="Trebuchet MS" w:hAnsi="Trebuchet MS"/>
        </w:rPr>
        <w:t>making process</w:t>
      </w:r>
      <w:r w:rsidR="004E1E46">
        <w:rPr>
          <w:rFonts w:ascii="Trebuchet MS" w:hAnsi="Trebuchet MS"/>
        </w:rPr>
        <w:t xml:space="preserve">.  Evidence produced for the Local Plan Review continues to support West Berkshires 30% Brownfield land and 40% Green field land development as well as </w:t>
      </w:r>
      <w:r w:rsidR="00F05B03">
        <w:rPr>
          <w:rFonts w:ascii="Trebuchet MS" w:hAnsi="Trebuchet MS"/>
        </w:rPr>
        <w:t>for all developments of 5 or more in rural areas.</w:t>
      </w:r>
    </w:p>
    <w:p w14:paraId="43BB9371" w14:textId="0E1434FD" w:rsidR="00DF7D88" w:rsidRDefault="00DF7D88" w:rsidP="00B64BD6">
      <w:pPr>
        <w:spacing w:after="0" w:line="240" w:lineRule="auto"/>
        <w:ind w:left="567" w:hanging="567"/>
        <w:rPr>
          <w:rFonts w:ascii="Trebuchet MS" w:hAnsi="Trebuchet MS"/>
        </w:rPr>
      </w:pPr>
    </w:p>
    <w:p w14:paraId="384186B5" w14:textId="65F7FCEE" w:rsidR="00DF7D88" w:rsidRPr="00355B4C" w:rsidRDefault="00DF7D88" w:rsidP="00B64BD6">
      <w:pPr>
        <w:spacing w:after="0" w:line="240" w:lineRule="auto"/>
        <w:ind w:left="567" w:hanging="567"/>
        <w:rPr>
          <w:rFonts w:ascii="Trebuchet MS" w:hAnsi="Trebuchet MS"/>
        </w:rPr>
      </w:pPr>
      <w:r>
        <w:rPr>
          <w:rFonts w:ascii="Trebuchet MS" w:hAnsi="Trebuchet MS"/>
        </w:rPr>
        <w:t>3.8</w:t>
      </w:r>
      <w:r>
        <w:rPr>
          <w:rFonts w:ascii="Trebuchet MS" w:hAnsi="Trebuchet MS"/>
        </w:rPr>
        <w:tab/>
        <w:t>It is worth noting that the 25% First Homes requirement would also apply to off-site financial contributions, meaning that a quarter of financial contributions to affordable housing would need to be spent on First Homes</w:t>
      </w:r>
      <w:r w:rsidR="00F05B03">
        <w:rPr>
          <w:rFonts w:ascii="Trebuchet MS" w:hAnsi="Trebuchet MS"/>
        </w:rPr>
        <w:t>.</w:t>
      </w:r>
    </w:p>
    <w:p w14:paraId="427E3946" w14:textId="76280EF5" w:rsidR="008E287C" w:rsidRPr="00355B4C" w:rsidRDefault="008E287C" w:rsidP="002B057E">
      <w:pPr>
        <w:spacing w:after="0" w:line="240" w:lineRule="auto"/>
        <w:rPr>
          <w:rFonts w:ascii="Trebuchet MS" w:hAnsi="Trebuchet MS"/>
          <w:b/>
          <w:bCs/>
        </w:rPr>
      </w:pPr>
    </w:p>
    <w:p w14:paraId="624D8C3F" w14:textId="73687AE2" w:rsidR="00975E7A" w:rsidRPr="00355B4C" w:rsidRDefault="00975E7A" w:rsidP="00C92DEA">
      <w:pPr>
        <w:spacing w:after="0" w:line="240" w:lineRule="auto"/>
        <w:ind w:firstLine="567"/>
        <w:rPr>
          <w:rFonts w:ascii="Trebuchet MS" w:hAnsi="Trebuchet MS"/>
          <w:b/>
          <w:bCs/>
          <w:i/>
          <w:iCs/>
        </w:rPr>
      </w:pPr>
      <w:r w:rsidRPr="00355B4C">
        <w:rPr>
          <w:rFonts w:ascii="Trebuchet MS" w:hAnsi="Trebuchet MS"/>
          <w:b/>
          <w:bCs/>
          <w:i/>
          <w:iCs/>
        </w:rPr>
        <w:t>Affordable Housing Thresholds</w:t>
      </w:r>
    </w:p>
    <w:p w14:paraId="49EF092F" w14:textId="063D0565" w:rsidR="00975E7A" w:rsidRPr="00355B4C" w:rsidRDefault="00975E7A" w:rsidP="00975E7A">
      <w:pPr>
        <w:spacing w:after="0" w:line="240" w:lineRule="auto"/>
        <w:ind w:left="567" w:hanging="567"/>
        <w:rPr>
          <w:rFonts w:ascii="Trebuchet MS" w:hAnsi="Trebuchet MS"/>
        </w:rPr>
      </w:pPr>
      <w:r w:rsidRPr="00355B4C">
        <w:rPr>
          <w:rFonts w:ascii="Trebuchet MS" w:hAnsi="Trebuchet MS"/>
        </w:rPr>
        <w:t>3.</w:t>
      </w:r>
      <w:r w:rsidR="00DF7D88">
        <w:rPr>
          <w:rFonts w:ascii="Trebuchet MS" w:hAnsi="Trebuchet MS"/>
        </w:rPr>
        <w:t>9</w:t>
      </w:r>
      <w:r w:rsidRPr="00355B4C">
        <w:rPr>
          <w:rFonts w:ascii="Trebuchet MS" w:hAnsi="Trebuchet MS"/>
        </w:rPr>
        <w:tab/>
        <w:t>The consultation proposes raising the site threshold for providing affordable housing from 10 units to 40 or 50 units, for an initial time-limited period of 18 months to enable SME developers to recover from Covid-19.  The assumptions are that this would result in a 7-14% (if 40 units) or 10-20% (if 50 units) reduction in affordable housing delivery.</w:t>
      </w:r>
    </w:p>
    <w:p w14:paraId="207E1FBD" w14:textId="77777777" w:rsidR="00975E7A" w:rsidRPr="00355B4C" w:rsidRDefault="00975E7A" w:rsidP="00975E7A">
      <w:pPr>
        <w:spacing w:after="0" w:line="240" w:lineRule="auto"/>
        <w:ind w:left="567" w:hanging="567"/>
        <w:rPr>
          <w:rFonts w:ascii="Trebuchet MS" w:hAnsi="Trebuchet MS"/>
        </w:rPr>
      </w:pPr>
    </w:p>
    <w:p w14:paraId="57E9C685" w14:textId="6EE3CF68" w:rsidR="00975E7A" w:rsidRPr="00355B4C" w:rsidRDefault="00975E7A" w:rsidP="00975E7A">
      <w:pPr>
        <w:spacing w:after="0" w:line="240" w:lineRule="auto"/>
        <w:ind w:left="567" w:hanging="567"/>
        <w:rPr>
          <w:rFonts w:ascii="Trebuchet MS" w:hAnsi="Trebuchet MS"/>
        </w:rPr>
      </w:pPr>
      <w:r w:rsidRPr="00355B4C">
        <w:rPr>
          <w:rFonts w:ascii="Trebuchet MS" w:hAnsi="Trebuchet MS"/>
        </w:rPr>
        <w:lastRenderedPageBreak/>
        <w:t>3.</w:t>
      </w:r>
      <w:r w:rsidR="00DF7D88">
        <w:rPr>
          <w:rFonts w:ascii="Trebuchet MS" w:hAnsi="Trebuchet MS"/>
        </w:rPr>
        <w:t>10</w:t>
      </w:r>
      <w:r w:rsidRPr="00355B4C">
        <w:rPr>
          <w:rFonts w:ascii="Trebuchet MS" w:hAnsi="Trebuchet MS"/>
        </w:rPr>
        <w:tab/>
        <w:t>The consultation states that the government would monitor the impacts on the sector before reviewing the approach.  However, it is worth noting that very similar wording was used when office to residential permitted development rights were introduced in 2013, and these were of course rolled forward</w:t>
      </w:r>
      <w:r w:rsidR="00DF7D88">
        <w:rPr>
          <w:rFonts w:ascii="Trebuchet MS" w:hAnsi="Trebuchet MS"/>
        </w:rPr>
        <w:t xml:space="preserve"> and made permanent</w:t>
      </w:r>
      <w:r w:rsidRPr="00355B4C">
        <w:rPr>
          <w:rFonts w:ascii="Trebuchet MS" w:hAnsi="Trebuchet MS"/>
        </w:rPr>
        <w:t xml:space="preserve">.  There is a strong possibility that this threshold could similarly be rolled forward after the initial period. </w:t>
      </w:r>
    </w:p>
    <w:p w14:paraId="41F25EAB" w14:textId="0A269673" w:rsidR="00975E7A" w:rsidRPr="00355B4C" w:rsidRDefault="00975E7A" w:rsidP="00975E7A">
      <w:pPr>
        <w:spacing w:after="0" w:line="240" w:lineRule="auto"/>
        <w:ind w:left="567" w:hanging="567"/>
        <w:rPr>
          <w:rFonts w:ascii="Trebuchet MS" w:hAnsi="Trebuchet MS"/>
        </w:rPr>
      </w:pPr>
    </w:p>
    <w:p w14:paraId="05666278" w14:textId="27BC3201" w:rsidR="00975E7A" w:rsidRPr="00355B4C" w:rsidRDefault="00975E7A" w:rsidP="00975E7A">
      <w:pPr>
        <w:spacing w:after="0" w:line="240" w:lineRule="auto"/>
        <w:ind w:left="567" w:hanging="567"/>
        <w:rPr>
          <w:rFonts w:ascii="Trebuchet MS" w:hAnsi="Trebuchet MS"/>
        </w:rPr>
      </w:pPr>
      <w:r w:rsidRPr="00355B4C">
        <w:rPr>
          <w:rFonts w:ascii="Trebuchet MS" w:hAnsi="Trebuchet MS"/>
        </w:rPr>
        <w:t>3.1</w:t>
      </w:r>
      <w:r w:rsidR="00DF7D88">
        <w:rPr>
          <w:rFonts w:ascii="Trebuchet MS" w:hAnsi="Trebuchet MS"/>
        </w:rPr>
        <w:t>1</w:t>
      </w:r>
      <w:r w:rsidR="00F05B03">
        <w:rPr>
          <w:rFonts w:ascii="Trebuchet MS" w:hAnsi="Trebuchet MS"/>
        </w:rPr>
        <w:tab/>
        <w:t>West Berkshire</w:t>
      </w:r>
      <w:r w:rsidRPr="00355B4C">
        <w:rPr>
          <w:rFonts w:ascii="Trebuchet MS" w:hAnsi="Trebuchet MS"/>
        </w:rPr>
        <w:t xml:space="preserve"> is in an unusual position</w:t>
      </w:r>
      <w:r w:rsidR="00F05B03">
        <w:rPr>
          <w:rFonts w:ascii="Trebuchet MS" w:hAnsi="Trebuchet MS"/>
        </w:rPr>
        <w:t xml:space="preserve"> nationally</w:t>
      </w:r>
      <w:r w:rsidRPr="00355B4C">
        <w:rPr>
          <w:rFonts w:ascii="Trebuchet MS" w:hAnsi="Trebuchet MS"/>
        </w:rPr>
        <w:t>, in that we do not apply the existing threshold in any case, and th</w:t>
      </w:r>
      <w:r w:rsidR="00F05B03">
        <w:rPr>
          <w:rFonts w:ascii="Trebuchet MS" w:hAnsi="Trebuchet MS"/>
        </w:rPr>
        <w:t>is has been supported at appeal</w:t>
      </w:r>
      <w:r w:rsidRPr="00355B4C">
        <w:rPr>
          <w:rFonts w:ascii="Trebuchet MS" w:hAnsi="Trebuchet MS"/>
        </w:rPr>
        <w:t xml:space="preserve">.  Officers’ working assumption is that we would continue to apply our own local policies, but we would need to be aware that we may face fresh challenges on this at appeal, and </w:t>
      </w:r>
      <w:r w:rsidR="00C92DEA" w:rsidRPr="00355B4C">
        <w:rPr>
          <w:rFonts w:ascii="Trebuchet MS" w:hAnsi="Trebuchet MS"/>
        </w:rPr>
        <w:t>potentially from some larger and better-resourced developers</w:t>
      </w:r>
      <w:r w:rsidRPr="00355B4C">
        <w:rPr>
          <w:rFonts w:ascii="Trebuchet MS" w:hAnsi="Trebuchet MS"/>
        </w:rPr>
        <w:t>.</w:t>
      </w:r>
    </w:p>
    <w:p w14:paraId="361E5107" w14:textId="2580B901" w:rsidR="00975E7A" w:rsidRPr="00355B4C" w:rsidRDefault="00975E7A" w:rsidP="002B057E">
      <w:pPr>
        <w:spacing w:after="0" w:line="240" w:lineRule="auto"/>
        <w:rPr>
          <w:rFonts w:ascii="Trebuchet MS" w:hAnsi="Trebuchet MS"/>
          <w:b/>
          <w:bCs/>
        </w:rPr>
      </w:pPr>
    </w:p>
    <w:p w14:paraId="4507491B" w14:textId="77777777" w:rsidR="00C92DEA" w:rsidRPr="00355B4C" w:rsidRDefault="00C92DEA" w:rsidP="00C92DEA">
      <w:pPr>
        <w:spacing w:after="0" w:line="240" w:lineRule="auto"/>
        <w:ind w:firstLine="567"/>
        <w:rPr>
          <w:rFonts w:ascii="Trebuchet MS" w:hAnsi="Trebuchet MS"/>
          <w:b/>
          <w:bCs/>
          <w:i/>
          <w:iCs/>
        </w:rPr>
      </w:pPr>
      <w:r w:rsidRPr="00355B4C">
        <w:rPr>
          <w:rFonts w:ascii="Trebuchet MS" w:hAnsi="Trebuchet MS"/>
          <w:b/>
          <w:bCs/>
          <w:i/>
          <w:iCs/>
        </w:rPr>
        <w:t>Permission in Principle</w:t>
      </w:r>
    </w:p>
    <w:p w14:paraId="0FEDF061" w14:textId="3E21DBA1" w:rsidR="00C92DEA" w:rsidRPr="00355B4C" w:rsidRDefault="00C92DEA" w:rsidP="00C92DEA">
      <w:pPr>
        <w:spacing w:after="0" w:line="240" w:lineRule="auto"/>
        <w:ind w:left="567" w:hanging="567"/>
        <w:rPr>
          <w:rFonts w:ascii="Trebuchet MS" w:hAnsi="Trebuchet MS"/>
        </w:rPr>
      </w:pPr>
      <w:r w:rsidRPr="00355B4C">
        <w:rPr>
          <w:rFonts w:ascii="Trebuchet MS" w:hAnsi="Trebuchet MS"/>
        </w:rPr>
        <w:t>3.1</w:t>
      </w:r>
      <w:r w:rsidR="00DF7D88">
        <w:rPr>
          <w:rFonts w:ascii="Trebuchet MS" w:hAnsi="Trebuchet MS"/>
        </w:rPr>
        <w:t>2</w:t>
      </w:r>
      <w:r w:rsidRPr="00355B4C">
        <w:rPr>
          <w:rFonts w:ascii="Trebuchet MS" w:hAnsi="Trebuchet MS"/>
        </w:rPr>
        <w:tab/>
        <w:t>A ‘permission in principle’ application route has been in place for a couple of years, in which an application can be made for permission in principle for housing-led development on sites of up to 10 dwellings.  This then needs to be followed by a technical details consent stage, at which the detailed matters are considered.</w:t>
      </w:r>
    </w:p>
    <w:p w14:paraId="39A0698B" w14:textId="77777777" w:rsidR="00C92DEA" w:rsidRPr="00355B4C" w:rsidRDefault="00C92DEA" w:rsidP="00C92DEA">
      <w:pPr>
        <w:spacing w:after="0" w:line="240" w:lineRule="auto"/>
        <w:ind w:left="567" w:hanging="567"/>
        <w:rPr>
          <w:rFonts w:ascii="Trebuchet MS" w:hAnsi="Trebuchet MS"/>
        </w:rPr>
      </w:pPr>
    </w:p>
    <w:p w14:paraId="07ED7590" w14:textId="2C447C13" w:rsidR="00C92DEA" w:rsidRPr="00355B4C" w:rsidRDefault="00C92DEA" w:rsidP="00C92DEA">
      <w:pPr>
        <w:spacing w:after="0" w:line="240" w:lineRule="auto"/>
        <w:ind w:left="567" w:hanging="567"/>
        <w:rPr>
          <w:rFonts w:ascii="Trebuchet MS" w:hAnsi="Trebuchet MS"/>
        </w:rPr>
      </w:pPr>
      <w:r w:rsidRPr="00355B4C">
        <w:rPr>
          <w:rFonts w:ascii="Trebuchet MS" w:hAnsi="Trebuchet MS"/>
        </w:rPr>
        <w:t>3.1</w:t>
      </w:r>
      <w:r w:rsidR="00DF7D88">
        <w:rPr>
          <w:rFonts w:ascii="Trebuchet MS" w:hAnsi="Trebuchet MS"/>
        </w:rPr>
        <w:t>3</w:t>
      </w:r>
      <w:r w:rsidRPr="00355B4C">
        <w:rPr>
          <w:rFonts w:ascii="Trebuchet MS" w:hAnsi="Trebuchet MS"/>
        </w:rPr>
        <w:tab/>
        <w:t>The proposal is to extend the ‘permission in principle’ application route to include major developments, up to 150 dwellings or 5 hectares (which is the Environmental Impact Assessment limit).  A time period of 5 weeks would continue to apply to these larger developments, as would the same, very minimal, requirements in terms of information submission.  The consultation asks if height parameters should be included at permission in principle stage, or left to technical details consent stage.  It is proposed to keep fees low and based on the area of the site rather than dwelling numbers, which may not be known until the technical details are applied for.</w:t>
      </w:r>
    </w:p>
    <w:p w14:paraId="5E76DC06" w14:textId="77777777" w:rsidR="00C92DEA" w:rsidRPr="00355B4C" w:rsidRDefault="00C92DEA" w:rsidP="00C92DEA">
      <w:pPr>
        <w:spacing w:after="0" w:line="240" w:lineRule="auto"/>
        <w:ind w:left="567" w:hanging="567"/>
        <w:rPr>
          <w:rFonts w:ascii="Trebuchet MS" w:hAnsi="Trebuchet MS"/>
        </w:rPr>
      </w:pPr>
    </w:p>
    <w:p w14:paraId="6140F78F" w14:textId="32B8950A" w:rsidR="007A2D6E" w:rsidRDefault="00C92DEA" w:rsidP="00F05B03">
      <w:pPr>
        <w:spacing w:after="0" w:line="240" w:lineRule="auto"/>
        <w:ind w:left="567" w:hanging="567"/>
        <w:rPr>
          <w:rFonts w:ascii="Trebuchet MS" w:hAnsi="Trebuchet MS"/>
        </w:rPr>
      </w:pPr>
      <w:r w:rsidRPr="00355B4C">
        <w:rPr>
          <w:rFonts w:ascii="Trebuchet MS" w:hAnsi="Trebuchet MS"/>
        </w:rPr>
        <w:t>3.1</w:t>
      </w:r>
      <w:r w:rsidR="00DF7D88">
        <w:rPr>
          <w:rFonts w:ascii="Trebuchet MS" w:hAnsi="Trebuchet MS"/>
        </w:rPr>
        <w:t>4</w:t>
      </w:r>
      <w:r w:rsidRPr="00355B4C">
        <w:rPr>
          <w:rFonts w:ascii="Trebuchet MS" w:hAnsi="Trebuchet MS"/>
        </w:rPr>
        <w:tab/>
        <w:t xml:space="preserve">The permission in principle route has been little-used in </w:t>
      </w:r>
      <w:r w:rsidR="00F05B03">
        <w:rPr>
          <w:rFonts w:ascii="Trebuchet MS" w:hAnsi="Trebuchet MS"/>
        </w:rPr>
        <w:t>West Berkshire</w:t>
      </w:r>
      <w:r w:rsidRPr="00355B4C">
        <w:rPr>
          <w:rFonts w:ascii="Trebuchet MS" w:hAnsi="Trebuchet MS"/>
        </w:rPr>
        <w:t xml:space="preserve"> so far, as it offers few clear advantages for minor development over the outline and reserved matters route.  However, for major developments, a 5-week route to some form of consent may prove very attractive.</w:t>
      </w:r>
      <w:r w:rsidR="00DF7D88">
        <w:rPr>
          <w:rFonts w:ascii="Trebuchet MS" w:hAnsi="Trebuchet MS"/>
        </w:rPr>
        <w:t xml:space="preserve">  Fees based on site area rather than dwelling numbers may a</w:t>
      </w:r>
      <w:r w:rsidR="00F05B03">
        <w:rPr>
          <w:rFonts w:ascii="Trebuchet MS" w:hAnsi="Trebuchet MS"/>
        </w:rPr>
        <w:t>lso provide a challenge on predicting future planning income.</w:t>
      </w:r>
    </w:p>
    <w:p w14:paraId="692A2810" w14:textId="77777777" w:rsidR="0039063F" w:rsidRDefault="0039063F" w:rsidP="00F05B03">
      <w:pPr>
        <w:spacing w:after="0" w:line="240" w:lineRule="auto"/>
        <w:ind w:left="567" w:hanging="567"/>
        <w:rPr>
          <w:rFonts w:ascii="Trebuchet MS" w:hAnsi="Trebuchet MS"/>
        </w:rPr>
      </w:pPr>
    </w:p>
    <w:p w14:paraId="114FC9FA" w14:textId="77777777" w:rsidR="0039063F" w:rsidRDefault="0039063F" w:rsidP="00F05B03">
      <w:pPr>
        <w:spacing w:after="0" w:line="240" w:lineRule="auto"/>
        <w:ind w:left="567" w:hanging="567"/>
        <w:rPr>
          <w:rFonts w:ascii="Trebuchet MS" w:hAnsi="Trebuchet MS"/>
        </w:rPr>
      </w:pPr>
    </w:p>
    <w:p w14:paraId="3D043F55" w14:textId="77777777" w:rsidR="0039063F" w:rsidRPr="00355B4C" w:rsidRDefault="0039063F" w:rsidP="0039063F">
      <w:pPr>
        <w:spacing w:after="0" w:line="240" w:lineRule="auto"/>
        <w:rPr>
          <w:rFonts w:ascii="Trebuchet MS" w:hAnsi="Trebuchet MS"/>
        </w:rPr>
      </w:pPr>
    </w:p>
    <w:sectPr w:rsidR="0039063F" w:rsidRPr="00355B4C">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5C96" w14:textId="77777777" w:rsidR="004C29B2" w:rsidRDefault="004C29B2" w:rsidP="002B057E">
      <w:pPr>
        <w:spacing w:after="0" w:line="240" w:lineRule="auto"/>
      </w:pPr>
      <w:r>
        <w:separator/>
      </w:r>
    </w:p>
  </w:endnote>
  <w:endnote w:type="continuationSeparator" w:id="0">
    <w:p w14:paraId="735A4B63" w14:textId="77777777" w:rsidR="004C29B2" w:rsidRDefault="004C29B2" w:rsidP="002B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2A95" w14:textId="77777777" w:rsidR="00B64BD6" w:rsidRDefault="00B64BD6">
    <w:pPr>
      <w:pStyle w:val="Footer"/>
    </w:pPr>
    <w:r>
      <w:rPr>
        <w:noProof/>
        <w:lang w:eastAsia="en-GB"/>
      </w:rPr>
      <mc:AlternateContent>
        <mc:Choice Requires="wps">
          <w:drawing>
            <wp:anchor distT="0" distB="0" distL="0" distR="0" simplePos="0" relativeHeight="251662336" behindDoc="0" locked="0" layoutInCell="1" allowOverlap="1" wp14:anchorId="12D5AAA7" wp14:editId="2A00722E">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42D5A"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2D5AAA7" id="_x0000_t202" coordsize="21600,21600" o:spt="202" path="m,l,21600r21600,l21600,xe">
              <v:stroke joinstyle="miter"/>
              <v:path gradientshapeok="t" o:connecttype="rect"/>
            </v:shapetype>
            <v:shape id="Text Box 5" o:spid="_x0000_s1028" type="#_x0000_t202"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SneXq&#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42442D5A"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4ED3" w14:textId="77777777" w:rsidR="00B64BD6" w:rsidRDefault="00B64BD6">
    <w:pPr>
      <w:pStyle w:val="Footer"/>
    </w:pPr>
    <w:r>
      <w:rPr>
        <w:noProof/>
        <w:lang w:eastAsia="en-GB"/>
      </w:rPr>
      <mc:AlternateContent>
        <mc:Choice Requires="wps">
          <w:drawing>
            <wp:anchor distT="0" distB="0" distL="0" distR="0" simplePos="0" relativeHeight="251663360" behindDoc="0" locked="0" layoutInCell="1" allowOverlap="1" wp14:anchorId="6E291A50" wp14:editId="39E35378">
              <wp:simplePos x="635" y="635"/>
              <wp:positionH relativeFrom="column">
                <wp:align>center</wp:align>
              </wp:positionH>
              <wp:positionV relativeFrom="paragraph">
                <wp:posOffset>635</wp:posOffset>
              </wp:positionV>
              <wp:extent cx="443865" cy="443865"/>
              <wp:effectExtent l="0" t="0" r="16510" b="17145"/>
              <wp:wrapSquare wrapText="bothSides"/>
              <wp:docPr id="6" name="Text Box 6"/>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DF5CF" w14:textId="737E00FA" w:rsidR="00B64BD6" w:rsidRPr="002B057E" w:rsidRDefault="00B64BD6">
                          <w:pPr>
                            <w:rPr>
                              <w:rFonts w:ascii="Calibri" w:eastAsia="Calibri" w:hAnsi="Calibri" w:cs="Calibri"/>
                              <w:color w:val="0000F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291A50" id="_x0000_t202" coordsize="21600,21600" o:spt="202" path="m,l,21600r21600,l21600,xe">
              <v:stroke joinstyle="miter"/>
              <v:path gradientshapeok="t" o:connecttype="rect"/>
            </v:shapetype>
            <v:shape id="Text Box 6" o:spid="_x0000_s1028" type="#_x0000_t202"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NtWwm&#10;GAIAADwEAAAOAAAAAAAAAAAAAAAAAC4CAABkcnMvZTJvRG9jLnhtbFBLAQItABQABgAIAAAAIQCE&#10;sNMo1gAAAAMBAAAPAAAAAAAAAAAAAAAAAHIEAABkcnMvZG93bnJldi54bWxQSwUGAAAAAAQABADz&#10;AAAAdQUAAAAA&#10;" filled="f" stroked="f">
              <v:textbox style="mso-fit-shape-to-text:t" inset="0,0,0,0">
                <w:txbxContent>
                  <w:p w14:paraId="4E2DF5CF" w14:textId="737E00FA" w:rsidR="00B64BD6" w:rsidRPr="002B057E" w:rsidRDefault="00B64BD6">
                    <w:pPr>
                      <w:rPr>
                        <w:rFonts w:ascii="Calibri" w:eastAsia="Calibri" w:hAnsi="Calibri" w:cs="Calibri"/>
                        <w:color w:val="0000FF"/>
                        <w:sz w:val="20"/>
                        <w:szCs w:val="20"/>
                      </w:rP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2B5C" w14:textId="77777777" w:rsidR="00B64BD6" w:rsidRDefault="00B64BD6">
    <w:pPr>
      <w:pStyle w:val="Footer"/>
    </w:pPr>
    <w:r>
      <w:rPr>
        <w:noProof/>
        <w:lang w:eastAsia="en-GB"/>
      </w:rPr>
      <mc:AlternateContent>
        <mc:Choice Requires="wps">
          <w:drawing>
            <wp:anchor distT="0" distB="0" distL="0" distR="0" simplePos="0" relativeHeight="251661312" behindDoc="0" locked="0" layoutInCell="1" allowOverlap="1" wp14:anchorId="43FF4CB4" wp14:editId="342E6351">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7CA35"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3FF4CB4" id="_x0000_t202" coordsize="21600,21600" o:spt="202" path="m,l,21600r21600,l21600,xe">
              <v:stroke joinstyle="miter"/>
              <v:path gradientshapeok="t" o:connecttype="rect"/>
            </v:shapetype>
            <v:shape id="Text Box 4" o:spid="_x0000_s1031" type="#_x0000_t202"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XXc7D&#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7517CA35"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3C6C" w14:textId="77777777" w:rsidR="004C29B2" w:rsidRDefault="004C29B2" w:rsidP="002B057E">
      <w:pPr>
        <w:spacing w:after="0" w:line="240" w:lineRule="auto"/>
      </w:pPr>
      <w:r>
        <w:separator/>
      </w:r>
    </w:p>
  </w:footnote>
  <w:footnote w:type="continuationSeparator" w:id="0">
    <w:p w14:paraId="0E7B619F" w14:textId="77777777" w:rsidR="004C29B2" w:rsidRDefault="004C29B2" w:rsidP="002B057E">
      <w:pPr>
        <w:spacing w:after="0" w:line="240" w:lineRule="auto"/>
      </w:pPr>
      <w:r>
        <w:continuationSeparator/>
      </w:r>
    </w:p>
  </w:footnote>
  <w:footnote w:id="1">
    <w:p w14:paraId="5B9D7F4E" w14:textId="4370A103" w:rsidR="00B4178F" w:rsidRDefault="00B4178F">
      <w:pPr>
        <w:pStyle w:val="FootnoteText"/>
      </w:pPr>
      <w:r>
        <w:rPr>
          <w:rStyle w:val="FootnoteReference"/>
        </w:rPr>
        <w:footnoteRef/>
      </w:r>
      <w:r>
        <w:t xml:space="preserve"> </w:t>
      </w:r>
      <w:hyperlink r:id="rId1" w:history="1">
        <w:r w:rsidR="00355B4C" w:rsidRPr="005B7820">
          <w:rPr>
            <w:rStyle w:val="Hyperlink"/>
          </w:rPr>
          <w:t>https://assets.publishing.service.gov.uk/government/uploads/system/uploads/attachment_data/file/907647/MHCLG-Planning-Consultation.pdf</w:t>
        </w:r>
      </w:hyperlink>
      <w:r w:rsidR="00355B4C">
        <w:t xml:space="preserve"> </w:t>
      </w:r>
    </w:p>
  </w:footnote>
  <w:footnote w:id="2">
    <w:p w14:paraId="4AE84ED3" w14:textId="6FBA9F84" w:rsidR="00B4178F" w:rsidRDefault="00B4178F">
      <w:pPr>
        <w:pStyle w:val="FootnoteText"/>
      </w:pPr>
      <w:r>
        <w:rPr>
          <w:rStyle w:val="FootnoteReference"/>
        </w:rPr>
        <w:footnoteRef/>
      </w:r>
      <w:r>
        <w:t xml:space="preserve"> </w:t>
      </w:r>
      <w:hyperlink r:id="rId2" w:history="1">
        <w:r w:rsidRPr="005B7820">
          <w:rPr>
            <w:rStyle w:val="Hyperlink"/>
          </w:rPr>
          <w:t>https://assets.publishing.service.gov.uk/government/uploads/system/uploads/attachment_data/file/907215/200805_Changes_to_the_current_planning_system_FINAL_version.pdf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64C3" w14:textId="77777777" w:rsidR="00B64BD6" w:rsidRDefault="00B64BD6">
    <w:pPr>
      <w:pStyle w:val="Header"/>
    </w:pPr>
    <w:r>
      <w:rPr>
        <w:noProof/>
        <w:lang w:eastAsia="en-GB"/>
      </w:rPr>
      <mc:AlternateContent>
        <mc:Choice Requires="wps">
          <w:drawing>
            <wp:anchor distT="0" distB="0" distL="0" distR="0" simplePos="0" relativeHeight="251659264" behindDoc="0" locked="0" layoutInCell="1" allowOverlap="1" wp14:anchorId="69CDD2C1" wp14:editId="181B2D41">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36AFAB"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9CDD2C1" id="_x0000_t202" coordsize="21600,21600" o:spt="202" path="m,l,21600r21600,l21600,xe">
              <v:stroke joinstyle="miter"/>
              <v:path gradientshapeok="t" o:connecttype="rect"/>
            </v:shapetype>
            <v:shape id="Text Box 2" o:spid="_x0000_s1026" type="#_x0000_t20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J2WrUcX&#10;AgAAPAQAAA4AAAAAAAAAAAAAAAAALgIAAGRycy9lMm9Eb2MueG1sUEsBAi0AFAAGAAgAAAAhAISw&#10;0yjWAAAAAwEAAA8AAAAAAAAAAAAAAAAAcQQAAGRycy9kb3ducmV2LnhtbFBLBQYAAAAABAAEAPMA&#10;AAB0BQAAAAA=&#10;" filled="f" stroked="f">
              <v:fill o:detectmouseclick="t"/>
              <v:textbox style="mso-fit-shape-to-text:t" inset="0,0,0,0">
                <w:txbxContent>
                  <w:p w14:paraId="0736AFAB"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8D87" w14:textId="77777777" w:rsidR="00B64BD6" w:rsidRDefault="00B64BD6">
    <w:pPr>
      <w:pStyle w:val="Header"/>
    </w:pPr>
    <w:r>
      <w:rPr>
        <w:noProof/>
        <w:lang w:eastAsia="en-GB"/>
      </w:rPr>
      <mc:AlternateContent>
        <mc:Choice Requires="wps">
          <w:drawing>
            <wp:anchor distT="0" distB="0" distL="0" distR="0" simplePos="0" relativeHeight="251658240" behindDoc="0" locked="0" layoutInCell="1" allowOverlap="1" wp14:anchorId="6105E55A" wp14:editId="3A3CA7D4">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4F0AA"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105E55A" id="_x0000_t202" coordsize="21600,21600" o:spt="202" path="m,l,21600r21600,l21600,xe">
              <v:stroke joinstyle="miter"/>
              <v:path gradientshapeok="t" o:connecttype="rect"/>
            </v:shapetype>
            <v:shape id="Text Box 1" o:spid="_x0000_s1030" type="#_x0000_t202"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" filled="f" stroked="f">
              <v:fill o:detectmouseclick="t"/>
              <v:textbox style="mso-fit-shape-to-text:t" inset="0,0,0,0">
                <w:txbxContent>
                  <w:p w14:paraId="72A4F0AA" w14:textId="77777777" w:rsidR="00B64BD6" w:rsidRPr="002B057E" w:rsidRDefault="00B64BD6">
                    <w:pPr>
                      <w:rPr>
                        <w:rFonts w:ascii="Calibri" w:eastAsia="Calibri" w:hAnsi="Calibri" w:cs="Calibri"/>
                        <w:color w:val="0000FF"/>
                        <w:sz w:val="20"/>
                        <w:szCs w:val="20"/>
                      </w:rPr>
                    </w:pPr>
                    <w:r w:rsidRPr="002B057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C41"/>
    <w:multiLevelType w:val="hybridMultilevel"/>
    <w:tmpl w:val="910C1AD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 w15:restartNumberingAfterBreak="0">
    <w:nsid w:val="23180EAB"/>
    <w:multiLevelType w:val="hybridMultilevel"/>
    <w:tmpl w:val="B14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F4D95"/>
    <w:multiLevelType w:val="hybridMultilevel"/>
    <w:tmpl w:val="470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6551D"/>
    <w:multiLevelType w:val="hybridMultilevel"/>
    <w:tmpl w:val="F46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434DE"/>
    <w:multiLevelType w:val="hybridMultilevel"/>
    <w:tmpl w:val="A914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973F2"/>
    <w:multiLevelType w:val="hybridMultilevel"/>
    <w:tmpl w:val="47FE4146"/>
    <w:lvl w:ilvl="0" w:tplc="7AF80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A1D61"/>
    <w:multiLevelType w:val="hybridMultilevel"/>
    <w:tmpl w:val="F112F4C8"/>
    <w:lvl w:ilvl="0" w:tplc="39D87EFE">
      <w:start w:val="1"/>
      <w:numFmt w:val="decimal"/>
      <w:lvlText w:val="%1."/>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A0327"/>
    <w:multiLevelType w:val="hybridMultilevel"/>
    <w:tmpl w:val="304C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15BF8"/>
    <w:multiLevelType w:val="hybridMultilevel"/>
    <w:tmpl w:val="0D1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09A"/>
    <w:multiLevelType w:val="hybridMultilevel"/>
    <w:tmpl w:val="17C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67E06"/>
    <w:multiLevelType w:val="multilevel"/>
    <w:tmpl w:val="18B8D4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A11744"/>
    <w:multiLevelType w:val="hybridMultilevel"/>
    <w:tmpl w:val="7616CD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11"/>
  </w:num>
  <w:num w:numId="8">
    <w:abstractNumId w:val="3"/>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7E"/>
    <w:rsid w:val="000903F8"/>
    <w:rsid w:val="0028587F"/>
    <w:rsid w:val="002B057E"/>
    <w:rsid w:val="00355B4C"/>
    <w:rsid w:val="0039063F"/>
    <w:rsid w:val="00444029"/>
    <w:rsid w:val="004C29B2"/>
    <w:rsid w:val="004E1E46"/>
    <w:rsid w:val="005E603E"/>
    <w:rsid w:val="00627D36"/>
    <w:rsid w:val="00786C2A"/>
    <w:rsid w:val="007A2D6E"/>
    <w:rsid w:val="00892B64"/>
    <w:rsid w:val="008E287C"/>
    <w:rsid w:val="00975E7A"/>
    <w:rsid w:val="00A30EF1"/>
    <w:rsid w:val="00B4178F"/>
    <w:rsid w:val="00B64BD6"/>
    <w:rsid w:val="00C92DEA"/>
    <w:rsid w:val="00DF7D88"/>
    <w:rsid w:val="00E23B8A"/>
    <w:rsid w:val="00EB5CF1"/>
    <w:rsid w:val="00EF4298"/>
    <w:rsid w:val="00F05B03"/>
    <w:rsid w:val="00F8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CF77"/>
  <w15:chartTrackingRefBased/>
  <w15:docId w15:val="{34A00DD9-C377-4871-9390-8125D0D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7E"/>
  </w:style>
  <w:style w:type="paragraph" w:styleId="Footer">
    <w:name w:val="footer"/>
    <w:basedOn w:val="Normal"/>
    <w:link w:val="FooterChar"/>
    <w:uiPriority w:val="99"/>
    <w:unhideWhenUsed/>
    <w:rsid w:val="002B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7E"/>
  </w:style>
  <w:style w:type="paragraph" w:styleId="ListParagraph">
    <w:name w:val="List Paragraph"/>
    <w:basedOn w:val="Normal"/>
    <w:uiPriority w:val="34"/>
    <w:qFormat/>
    <w:rsid w:val="002B057E"/>
    <w:pPr>
      <w:ind w:left="720"/>
      <w:contextualSpacing/>
    </w:pPr>
  </w:style>
  <w:style w:type="paragraph" w:styleId="FootnoteText">
    <w:name w:val="footnote text"/>
    <w:basedOn w:val="Normal"/>
    <w:link w:val="FootnoteTextChar"/>
    <w:uiPriority w:val="99"/>
    <w:semiHidden/>
    <w:unhideWhenUsed/>
    <w:rsid w:val="00B41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78F"/>
    <w:rPr>
      <w:sz w:val="20"/>
      <w:szCs w:val="20"/>
    </w:rPr>
  </w:style>
  <w:style w:type="character" w:styleId="FootnoteReference">
    <w:name w:val="footnote reference"/>
    <w:basedOn w:val="DefaultParagraphFont"/>
    <w:uiPriority w:val="99"/>
    <w:semiHidden/>
    <w:unhideWhenUsed/>
    <w:rsid w:val="00B4178F"/>
    <w:rPr>
      <w:vertAlign w:val="superscript"/>
    </w:rPr>
  </w:style>
  <w:style w:type="character" w:styleId="Hyperlink">
    <w:name w:val="Hyperlink"/>
    <w:basedOn w:val="DefaultParagraphFont"/>
    <w:uiPriority w:val="99"/>
    <w:unhideWhenUsed/>
    <w:rsid w:val="00B4178F"/>
    <w:rPr>
      <w:color w:val="0563C1" w:themeColor="hyperlink"/>
      <w:u w:val="single"/>
    </w:rPr>
  </w:style>
  <w:style w:type="character" w:customStyle="1" w:styleId="UnresolvedMention">
    <w:name w:val="Unresolved Mention"/>
    <w:basedOn w:val="DefaultParagraphFont"/>
    <w:uiPriority w:val="99"/>
    <w:semiHidden/>
    <w:unhideWhenUsed/>
    <w:rsid w:val="00B4178F"/>
    <w:rPr>
      <w:color w:val="605E5C"/>
      <w:shd w:val="clear" w:color="auto" w:fill="E1DFDD"/>
    </w:rPr>
  </w:style>
  <w:style w:type="character" w:styleId="FollowedHyperlink">
    <w:name w:val="FollowedHyperlink"/>
    <w:basedOn w:val="DefaultParagraphFont"/>
    <w:uiPriority w:val="99"/>
    <w:semiHidden/>
    <w:unhideWhenUsed/>
    <w:rsid w:val="00F05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07215/200805_Changes_to_the_current_planning_system_FINAL_version.pdf" TargetMode="External"/><Relationship Id="rId1" Type="http://schemas.openxmlformats.org/officeDocument/2006/relationships/hyperlink" Target="https://assets.publishing.service.gov.uk/government/uploads/system/uploads/attachment_data/file/907647/MHCLG-Planning-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71C6-17F6-4A16-9075-3C1C20F2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Worringham, Mark</dc:creator>
  <cp:keywords/>
  <dc:description/>
  <cp:lastModifiedBy>Bryan Lyttle</cp:lastModifiedBy>
  <cp:revision>2</cp:revision>
  <dcterms:created xsi:type="dcterms:W3CDTF">2020-08-28T11:55:00Z</dcterms:created>
  <dcterms:modified xsi:type="dcterms:W3CDTF">2020-08-28T11:55:00Z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2020-08-11T08:25:14Z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6663ccc3-abe1-4fce-969e-0000fe9a75f0</vt:lpwstr>
  </property>
  <property fmtid="{D5CDD505-2E9C-101B-9397-08002B2CF9AE}" pid="14" name="MSIP_Label_9eb3f8bb-fb1a-473e-9807-cee84beb8071_ContentBits">
    <vt:lpwstr>3</vt:lpwstr>
  </property>
</Properties>
</file>